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7D43" w:rsidR="00A8337A" w:rsidP="00D97D43" w:rsidRDefault="00A8337A" w14:paraId="4872964D" w14:textId="6432676A">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r w:rsidRPr="00D97D43">
        <w:rPr>
          <w:rFonts w:ascii="Calibri" w:hAnsi="Calibri" w:cs="Calibri"/>
          <w:b/>
          <w:bCs/>
          <w:snapToGrid/>
          <w:color w:val="000000" w:themeColor="text1"/>
          <w:szCs w:val="24"/>
          <w14:ligatures w14:val="none"/>
        </w:rPr>
        <w:t>SECTION: PAY AND COMPENSATION</w:t>
      </w:r>
    </w:p>
    <w:p w:rsidRPr="00D97D43" w:rsidR="00A8337A" w:rsidP="00D97D43" w:rsidRDefault="00A8337A" w14:paraId="6EFCECC0" w14:textId="77777777">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p>
    <w:p w:rsidRPr="00D97D43" w:rsidR="00A8337A" w:rsidP="00D97D43" w:rsidRDefault="00A8337A" w14:paraId="7813675A" w14:textId="65DE9A51">
      <w:pPr>
        <w:widowControl/>
        <w:shd w:val="clear" w:color="auto" w:fill="FFFFFF"/>
        <w:tabs>
          <w:tab w:val="left" w:pos="5040"/>
        </w:tabs>
        <w:snapToGrid w:val="0"/>
        <w:spacing w:line="264" w:lineRule="auto"/>
        <w:rPr>
          <w:rFonts w:ascii="Calibri" w:hAnsi="Calibri" w:cs="Calibri"/>
          <w:snapToGrid/>
          <w:color w:val="000000" w:themeColor="text1"/>
          <w:szCs w:val="24"/>
          <w14:ligatures w14:val="none"/>
        </w:rPr>
      </w:pPr>
      <w:r w:rsidRPr="00D97D43">
        <w:rPr>
          <w:rFonts w:ascii="Calibri" w:hAnsi="Calibri" w:cs="Calibri"/>
          <w:b/>
          <w:bCs/>
          <w:snapToGrid/>
          <w:color w:val="000000" w:themeColor="text1"/>
          <w:szCs w:val="24"/>
          <w14:ligatures w14:val="none"/>
        </w:rPr>
        <w:t xml:space="preserve">POLICY: </w:t>
      </w:r>
      <w:r w:rsidRPr="00D97D43">
        <w:rPr>
          <w:rFonts w:ascii="Calibri" w:hAnsi="Calibri" w:cs="Calibri"/>
          <w:snapToGrid/>
          <w:color w:val="000000" w:themeColor="text1"/>
          <w:szCs w:val="24"/>
          <w14:ligatures w14:val="none"/>
        </w:rPr>
        <w:t>Work</w:t>
      </w:r>
      <w:r w:rsidRPr="00D97D43" w:rsidR="00971C75">
        <w:rPr>
          <w:rFonts w:ascii="Calibri" w:hAnsi="Calibri" w:cs="Calibri"/>
          <w:snapToGrid/>
          <w:color w:val="000000" w:themeColor="text1"/>
          <w:szCs w:val="24"/>
          <w14:ligatures w14:val="none"/>
        </w:rPr>
        <w:t>w</w:t>
      </w:r>
      <w:r w:rsidRPr="00D97D43">
        <w:rPr>
          <w:rFonts w:ascii="Calibri" w:hAnsi="Calibri" w:cs="Calibri"/>
          <w:snapToGrid/>
          <w:color w:val="000000" w:themeColor="text1"/>
          <w:szCs w:val="24"/>
          <w14:ligatures w14:val="none"/>
        </w:rPr>
        <w:t>eek</w:t>
      </w:r>
      <w:r w:rsidRPr="00D97D43" w:rsidR="000D4A8E">
        <w:rPr>
          <w:rFonts w:ascii="Calibri" w:hAnsi="Calibri" w:cs="Calibri"/>
          <w:snapToGrid/>
          <w:color w:val="000000" w:themeColor="text1"/>
          <w:szCs w:val="24"/>
          <w14:ligatures w14:val="none"/>
        </w:rPr>
        <w:tab/>
      </w:r>
      <w:r w:rsidRPr="00D97D43">
        <w:rPr>
          <w:rFonts w:ascii="Calibri" w:hAnsi="Calibri" w:cs="Calibri"/>
          <w:b/>
          <w:bCs/>
          <w:snapToGrid/>
          <w:color w:val="000000" w:themeColor="text1"/>
          <w:szCs w:val="24"/>
          <w14:ligatures w14:val="none"/>
        </w:rPr>
        <w:t xml:space="preserve">EFFECTIVE DATE: </w:t>
      </w:r>
      <w:r w:rsidRPr="00D97D43" w:rsidR="00D97D43">
        <w:rPr>
          <w:rFonts w:ascii="Calibri" w:hAnsi="Calibri" w:cs="Calibri"/>
          <w:color w:val="000000" w:themeColor="text1"/>
          <w:szCs w:val="24"/>
        </w:rPr>
        <w:t>insert date adopted</w:t>
      </w:r>
    </w:p>
    <w:p w:rsidRPr="00D97D43" w:rsidR="00A8337A" w:rsidP="00D97D43" w:rsidRDefault="00A8337A" w14:paraId="1B70CD3A" w14:textId="40CEAD0A">
      <w:pPr>
        <w:widowControl/>
        <w:shd w:val="clear" w:color="auto" w:fill="FFFFFF"/>
        <w:snapToGrid w:val="0"/>
        <w:spacing w:line="264" w:lineRule="auto"/>
        <w:rPr>
          <w:rFonts w:ascii="Calibri" w:hAnsi="Calibri" w:cs="Calibri"/>
          <w:snapToGrid/>
          <w:color w:val="000000" w:themeColor="text1"/>
          <w:szCs w:val="24"/>
          <w14:ligatures w14:val="none"/>
        </w:rPr>
      </w:pPr>
      <w:r w:rsidRPr="00D97D43">
        <w:rPr>
          <w:rFonts w:ascii="Calibri" w:hAnsi="Calibri" w:cs="Calibri"/>
          <w:b/>
          <w:bCs/>
          <w:snapToGrid/>
          <w:color w:val="000000" w:themeColor="text1"/>
          <w:szCs w:val="24"/>
          <w14:ligatures w14:val="none"/>
        </w:rPr>
        <w:t xml:space="preserve"> </w:t>
      </w:r>
    </w:p>
    <w:p w:rsidRPr="00D97D43" w:rsidR="00A8337A" w:rsidP="00D97D43" w:rsidRDefault="00A8337A" w14:paraId="1CB35C2D" w14:textId="77777777">
      <w:pPr>
        <w:tabs>
          <w:tab w:val="num" w:pos="720"/>
        </w:tabs>
        <w:spacing w:line="264" w:lineRule="auto"/>
        <w:rPr>
          <w:rFonts w:ascii="Calibri" w:hAnsi="Calibri" w:cs="Calibri"/>
          <w:color w:val="000000" w:themeColor="text1"/>
          <w:szCs w:val="24"/>
        </w:rPr>
      </w:pPr>
    </w:p>
    <w:p w:rsidRPr="00D97D43" w:rsidR="002F6CBD" w:rsidP="00D97D43" w:rsidRDefault="00D14335" w14:paraId="3DC2DE4D" w14:textId="6576878D">
      <w:pPr>
        <w:tabs>
          <w:tab w:val="num" w:pos="720"/>
        </w:tabs>
        <w:spacing w:line="264" w:lineRule="auto"/>
        <w:rPr>
          <w:rFonts w:ascii="Calibri" w:hAnsi="Calibri" w:cs="Calibri"/>
          <w:b/>
          <w:bCs/>
          <w:color w:val="000000" w:themeColor="text1"/>
          <w:szCs w:val="24"/>
        </w:rPr>
      </w:pPr>
      <w:r w:rsidRPr="00D97D43">
        <w:rPr>
          <w:rFonts w:ascii="Calibri" w:hAnsi="Calibri" w:cs="Calibri"/>
          <w:b/>
          <w:bCs/>
          <w:color w:val="000000" w:themeColor="text1"/>
          <w:szCs w:val="24"/>
        </w:rPr>
        <w:t>STATEMENT OF PURPOSE:</w:t>
      </w:r>
    </w:p>
    <w:p w:rsidRPr="00D97D43" w:rsidR="00D97D43" w:rsidP="00D97D43" w:rsidRDefault="00D97D43" w14:paraId="6D4AFE36" w14:textId="77777777">
      <w:pPr>
        <w:tabs>
          <w:tab w:val="num" w:pos="720"/>
        </w:tabs>
        <w:spacing w:line="264" w:lineRule="auto"/>
        <w:rPr>
          <w:rFonts w:ascii="Calibri" w:hAnsi="Calibri" w:cs="Calibri"/>
          <w:b/>
          <w:bCs/>
          <w:color w:val="000000" w:themeColor="text1"/>
          <w:szCs w:val="24"/>
        </w:rPr>
      </w:pPr>
    </w:p>
    <w:p w:rsidRPr="00D97D43" w:rsidR="002F6CBD" w:rsidP="00D97D43" w:rsidRDefault="002F6CBD" w14:paraId="77D6F68D" w14:textId="77777777">
      <w:pPr>
        <w:tabs>
          <w:tab w:val="num" w:pos="720"/>
        </w:tabs>
        <w:spacing w:line="264" w:lineRule="auto"/>
        <w:rPr>
          <w:rFonts w:ascii="Calibri" w:hAnsi="Calibri" w:cs="Calibri"/>
          <w:color w:val="000000" w:themeColor="text1"/>
          <w:szCs w:val="24"/>
        </w:rPr>
      </w:pPr>
      <w:r w:rsidRPr="00D97D43">
        <w:rPr>
          <w:rFonts w:ascii="Calibri" w:hAnsi="Calibri" w:cs="Calibri"/>
          <w:color w:val="000000" w:themeColor="text1"/>
          <w:szCs w:val="24"/>
        </w:rPr>
        <w:t>The purpose of this policy is to define the standard workweek for City employees and establish guidelines for tracking work hours in compliance with the Fair Labor Standards Act (FLSA) and City operational needs.</w:t>
      </w:r>
    </w:p>
    <w:p w:rsidRPr="00D97D43" w:rsidR="002F6CBD" w:rsidP="00D97D43" w:rsidRDefault="002F6CBD" w14:paraId="55D038EC" w14:textId="77777777">
      <w:pPr>
        <w:tabs>
          <w:tab w:val="num" w:pos="720"/>
        </w:tabs>
        <w:spacing w:line="264" w:lineRule="auto"/>
        <w:rPr>
          <w:rFonts w:ascii="Calibri" w:hAnsi="Calibri" w:cs="Calibri"/>
          <w:color w:val="000000" w:themeColor="text1"/>
          <w:szCs w:val="24"/>
        </w:rPr>
      </w:pPr>
    </w:p>
    <w:p w:rsidRPr="00D97D43" w:rsidR="002F6CBD" w:rsidP="00D97D43" w:rsidRDefault="002F6CBD" w14:paraId="5D69835C" w14:textId="77777777">
      <w:pPr>
        <w:tabs>
          <w:tab w:val="num" w:pos="720"/>
        </w:tabs>
        <w:spacing w:line="264" w:lineRule="auto"/>
        <w:rPr>
          <w:rFonts w:ascii="Calibri" w:hAnsi="Calibri" w:cs="Calibri"/>
          <w:color w:val="000000" w:themeColor="text1"/>
          <w:szCs w:val="24"/>
        </w:rPr>
      </w:pPr>
      <w:r w:rsidRPr="00D97D43">
        <w:rPr>
          <w:rFonts w:ascii="Calibri" w:hAnsi="Calibri" w:cs="Calibri"/>
          <w:color w:val="000000" w:themeColor="text1"/>
          <w:szCs w:val="24"/>
        </w:rPr>
        <w:t>This policy applies to all City employees, including both exempt and non-exempt classifications, across all departments.</w:t>
      </w:r>
    </w:p>
    <w:p w:rsidRPr="00D97D43" w:rsidR="002F6CBD" w:rsidP="00D97D43" w:rsidRDefault="002F6CBD" w14:paraId="048B18C1" w14:textId="77777777">
      <w:pPr>
        <w:tabs>
          <w:tab w:val="num" w:pos="720"/>
        </w:tabs>
        <w:spacing w:line="264" w:lineRule="auto"/>
        <w:rPr>
          <w:rFonts w:ascii="Calibri" w:hAnsi="Calibri" w:cs="Calibri"/>
          <w:color w:val="000000" w:themeColor="text1"/>
          <w:szCs w:val="24"/>
        </w:rPr>
      </w:pPr>
    </w:p>
    <w:p w:rsidRPr="00D97D43" w:rsidR="002F6CBD" w:rsidP="00D97D43" w:rsidRDefault="00D14335" w14:paraId="33E1486C" w14:textId="14886A87">
      <w:pPr>
        <w:tabs>
          <w:tab w:val="num" w:pos="720"/>
        </w:tabs>
        <w:spacing w:line="264" w:lineRule="auto"/>
        <w:rPr>
          <w:rFonts w:ascii="Calibri" w:hAnsi="Calibri" w:cs="Calibri"/>
          <w:b/>
          <w:bCs/>
          <w:color w:val="000000" w:themeColor="text1"/>
          <w:szCs w:val="24"/>
        </w:rPr>
      </w:pPr>
      <w:r w:rsidRPr="00D97D43">
        <w:rPr>
          <w:rFonts w:ascii="Calibri" w:hAnsi="Calibri" w:cs="Calibri"/>
          <w:b/>
          <w:bCs/>
          <w:color w:val="000000" w:themeColor="text1"/>
          <w:szCs w:val="24"/>
        </w:rPr>
        <w:t>DEFINITIONS:</w:t>
      </w:r>
    </w:p>
    <w:p w:rsidRPr="00D97D43" w:rsidR="00D97D43" w:rsidP="00D97D43" w:rsidRDefault="00D97D43" w14:paraId="09885F86" w14:textId="77777777">
      <w:pPr>
        <w:tabs>
          <w:tab w:val="num" w:pos="720"/>
        </w:tabs>
        <w:spacing w:line="264" w:lineRule="auto"/>
        <w:rPr>
          <w:rFonts w:ascii="Calibri" w:hAnsi="Calibri" w:cs="Calibri"/>
          <w:b/>
          <w:bCs/>
          <w:color w:val="000000" w:themeColor="text1"/>
          <w:szCs w:val="24"/>
        </w:rPr>
      </w:pPr>
    </w:p>
    <w:p w:rsidRPr="00D97D43" w:rsidR="002F6CBD" w:rsidP="00D97D43" w:rsidRDefault="002F6CBD" w14:paraId="64A43591" w14:textId="440C6CF6">
      <w:pPr>
        <w:numPr>
          <w:ilvl w:val="0"/>
          <w:numId w:val="20"/>
        </w:numPr>
        <w:spacing w:line="264" w:lineRule="auto"/>
        <w:rPr>
          <w:rFonts w:ascii="Calibri" w:hAnsi="Calibri" w:cs="Calibri"/>
          <w:color w:val="000000" w:themeColor="text1"/>
          <w:szCs w:val="24"/>
        </w:rPr>
      </w:pPr>
      <w:r w:rsidRPr="00D97D43">
        <w:rPr>
          <w:rFonts w:ascii="Calibri" w:hAnsi="Calibri" w:cs="Calibri"/>
          <w:color w:val="000000" w:themeColor="text1"/>
          <w:szCs w:val="24"/>
        </w:rPr>
        <w:t xml:space="preserve">Workweek: A fixed and recurring period of 168 hours, consisting of seven consecutive 24-hour days. The City’s standard </w:t>
      </w:r>
      <w:r w:rsidRPr="00D97D43" w:rsidR="009478B3">
        <w:rPr>
          <w:rFonts w:ascii="Calibri" w:hAnsi="Calibri" w:cs="Calibri"/>
          <w:color w:val="000000" w:themeColor="text1"/>
          <w:szCs w:val="24"/>
        </w:rPr>
        <w:t>work week</w:t>
      </w:r>
      <w:r w:rsidRPr="00D97D43">
        <w:rPr>
          <w:rFonts w:ascii="Calibri" w:hAnsi="Calibri" w:cs="Calibri"/>
          <w:color w:val="000000" w:themeColor="text1"/>
          <w:szCs w:val="24"/>
        </w:rPr>
        <w:t xml:space="preserve"> begins at 12:00 a.m. on Monday and ends at 11:59 p.m. on Sunday.</w:t>
      </w:r>
    </w:p>
    <w:p w:rsidRPr="00D97D43" w:rsidR="00D97D43" w:rsidP="00D97D43" w:rsidRDefault="00D97D43" w14:paraId="5E571569" w14:textId="77777777">
      <w:pPr>
        <w:spacing w:line="264" w:lineRule="auto"/>
        <w:ind w:left="720"/>
        <w:rPr>
          <w:rFonts w:ascii="Calibri" w:hAnsi="Calibri" w:cs="Calibri"/>
          <w:color w:val="000000" w:themeColor="text1"/>
          <w:szCs w:val="24"/>
        </w:rPr>
      </w:pPr>
    </w:p>
    <w:p w:rsidRPr="00D97D43" w:rsidR="002F6CBD" w:rsidP="00D97D43" w:rsidRDefault="002F6CBD" w14:paraId="0AA7EFD1" w14:textId="77777777">
      <w:pPr>
        <w:numPr>
          <w:ilvl w:val="0"/>
          <w:numId w:val="20"/>
        </w:numPr>
        <w:spacing w:line="264" w:lineRule="auto"/>
        <w:rPr>
          <w:rFonts w:ascii="Calibri" w:hAnsi="Calibri" w:cs="Calibri"/>
          <w:color w:val="000000" w:themeColor="text1"/>
          <w:szCs w:val="24"/>
        </w:rPr>
      </w:pPr>
      <w:r w:rsidRPr="00D97D43">
        <w:rPr>
          <w:rFonts w:ascii="Calibri" w:hAnsi="Calibri" w:cs="Calibri"/>
          <w:color w:val="000000" w:themeColor="text1"/>
          <w:szCs w:val="24"/>
        </w:rPr>
        <w:t>Exempt Employees: Employees who are exempt from FLSA overtime provisions, typically salaried and holding executive, administrative, or professional roles.</w:t>
      </w:r>
    </w:p>
    <w:p w:rsidRPr="00D97D43" w:rsidR="00D97D43" w:rsidP="00D97D43" w:rsidRDefault="00D97D43" w14:paraId="44375D87" w14:textId="77777777">
      <w:pPr>
        <w:spacing w:line="264" w:lineRule="auto"/>
        <w:rPr>
          <w:rFonts w:ascii="Calibri" w:hAnsi="Calibri" w:cs="Calibri"/>
          <w:color w:val="000000" w:themeColor="text1"/>
          <w:szCs w:val="24"/>
        </w:rPr>
      </w:pPr>
    </w:p>
    <w:p w:rsidRPr="00D97D43" w:rsidR="002F6CBD" w:rsidP="00D97D43" w:rsidRDefault="002F6CBD" w14:paraId="67A7ED3B" w14:textId="77777777">
      <w:pPr>
        <w:numPr>
          <w:ilvl w:val="0"/>
          <w:numId w:val="20"/>
        </w:numPr>
        <w:spacing w:line="264" w:lineRule="auto"/>
        <w:rPr>
          <w:rFonts w:ascii="Calibri" w:hAnsi="Calibri" w:cs="Calibri"/>
          <w:color w:val="000000" w:themeColor="text1"/>
          <w:szCs w:val="24"/>
        </w:rPr>
      </w:pPr>
      <w:r w:rsidRPr="00D97D43">
        <w:rPr>
          <w:rFonts w:ascii="Calibri" w:hAnsi="Calibri" w:cs="Calibri"/>
          <w:color w:val="000000" w:themeColor="text1"/>
          <w:szCs w:val="24"/>
        </w:rPr>
        <w:t>Non-Exempt Employees: Employees who are entitled to overtime pay under FLSA when they work more than the defined hours in a workweek or work period.</w:t>
      </w:r>
    </w:p>
    <w:p w:rsidRPr="00D97D43" w:rsidR="00D97D43" w:rsidP="00D97D43" w:rsidRDefault="00D97D43" w14:paraId="3B67E9A6" w14:textId="77777777">
      <w:pPr>
        <w:spacing w:line="264" w:lineRule="auto"/>
        <w:ind w:left="720"/>
        <w:rPr>
          <w:rFonts w:ascii="Calibri" w:hAnsi="Calibri" w:cs="Calibri"/>
          <w:color w:val="000000" w:themeColor="text1"/>
          <w:szCs w:val="24"/>
        </w:rPr>
      </w:pPr>
    </w:p>
    <w:p w:rsidRPr="00D97D43" w:rsidR="002F6CBD" w:rsidP="00D97D43" w:rsidRDefault="002F6CBD" w14:paraId="3044D523" w14:textId="77777777">
      <w:pPr>
        <w:numPr>
          <w:ilvl w:val="0"/>
          <w:numId w:val="20"/>
        </w:numPr>
        <w:spacing w:line="264" w:lineRule="auto"/>
        <w:rPr>
          <w:rFonts w:ascii="Calibri" w:hAnsi="Calibri" w:cs="Calibri"/>
          <w:color w:val="000000" w:themeColor="text1"/>
          <w:szCs w:val="24"/>
        </w:rPr>
      </w:pPr>
      <w:r w:rsidRPr="00D97D43">
        <w:rPr>
          <w:rFonts w:ascii="Calibri" w:hAnsi="Calibri" w:cs="Calibri"/>
          <w:color w:val="000000" w:themeColor="text1"/>
          <w:szCs w:val="24"/>
        </w:rPr>
        <w:t>Work Period: A recurring period used to calculate overtime for certain public safety positions, which may differ from the standard seven-day workweek.</w:t>
      </w:r>
    </w:p>
    <w:p w:rsidRPr="00D97D43" w:rsidR="00D14335" w:rsidP="00D97D43" w:rsidRDefault="00D14335" w14:paraId="52685089" w14:textId="77777777">
      <w:pPr>
        <w:tabs>
          <w:tab w:val="num" w:pos="720"/>
        </w:tabs>
        <w:spacing w:line="264" w:lineRule="auto"/>
        <w:rPr>
          <w:rFonts w:ascii="Calibri" w:hAnsi="Calibri" w:cs="Calibri"/>
          <w:b/>
          <w:bCs/>
          <w:color w:val="000000" w:themeColor="text1"/>
          <w:szCs w:val="24"/>
        </w:rPr>
      </w:pPr>
    </w:p>
    <w:p w:rsidRPr="00D97D43" w:rsidR="002F6CBD" w:rsidP="00D97D43" w:rsidRDefault="00D14335" w14:paraId="5BB17E59" w14:textId="29879B94">
      <w:pPr>
        <w:tabs>
          <w:tab w:val="num" w:pos="720"/>
        </w:tabs>
        <w:spacing w:line="264" w:lineRule="auto"/>
        <w:rPr>
          <w:rFonts w:ascii="Calibri" w:hAnsi="Calibri" w:cs="Calibri"/>
          <w:b/>
          <w:bCs/>
          <w:color w:val="000000" w:themeColor="text1"/>
          <w:szCs w:val="24"/>
        </w:rPr>
      </w:pPr>
      <w:r w:rsidRPr="00D97D43">
        <w:rPr>
          <w:rFonts w:ascii="Calibri" w:hAnsi="Calibri" w:cs="Calibri"/>
          <w:b/>
          <w:bCs/>
          <w:color w:val="000000" w:themeColor="text1"/>
          <w:szCs w:val="24"/>
        </w:rPr>
        <w:t>PROCEDURES:</w:t>
      </w:r>
    </w:p>
    <w:p w:rsidRPr="00D97D43" w:rsidR="00D97D43" w:rsidP="00D97D43" w:rsidRDefault="00D97D43" w14:paraId="39056619" w14:textId="77777777">
      <w:pPr>
        <w:tabs>
          <w:tab w:val="num" w:pos="720"/>
        </w:tabs>
        <w:spacing w:line="264" w:lineRule="auto"/>
        <w:rPr>
          <w:rFonts w:ascii="Calibri" w:hAnsi="Calibri" w:cs="Calibri"/>
          <w:b/>
          <w:bCs/>
          <w:color w:val="000000" w:themeColor="text1"/>
          <w:szCs w:val="24"/>
        </w:rPr>
      </w:pPr>
    </w:p>
    <w:p w:rsidRPr="00D97D43" w:rsidR="002F6CBD" w:rsidP="00D97D43" w:rsidRDefault="002F6CBD" w14:paraId="434905FB"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Standard Workweek</w:t>
      </w:r>
    </w:p>
    <w:p w:rsidRPr="00D97D43" w:rsidR="002F6CBD" w:rsidP="3EE6B048" w:rsidRDefault="002F6CBD" w14:paraId="72B99859" w14:textId="3A163360">
      <w:pPr>
        <w:pStyle w:val="ListParagraph"/>
        <w:numPr>
          <w:ilvl w:val="1"/>
          <w:numId w:val="22"/>
        </w:numPr>
        <w:spacing w:line="264" w:lineRule="auto"/>
        <w:rPr>
          <w:rFonts w:ascii="Calibri" w:hAnsi="Calibri" w:cs="Calibri"/>
          <w:color w:val="000000" w:themeColor="text1"/>
        </w:rPr>
      </w:pPr>
      <w:r w:rsidRPr="3EE6B048" w:rsidR="002F6CBD">
        <w:rPr>
          <w:rFonts w:ascii="Calibri" w:hAnsi="Calibri" w:cs="Calibri"/>
          <w:color w:val="000000" w:themeColor="text1" w:themeTint="FF" w:themeShade="FF"/>
        </w:rPr>
        <w:t>All timekeeping, payroll, and overtime calculations will be based on this defined workweek unless otherwise noted.</w:t>
      </w:r>
    </w:p>
    <w:p w:rsidRPr="00D97D43" w:rsidR="00D97D43" w:rsidP="00D97D43" w:rsidRDefault="00D97D43" w14:paraId="7099C5C1" w14:textId="77777777">
      <w:pPr>
        <w:spacing w:line="264" w:lineRule="auto"/>
        <w:ind w:left="1440"/>
        <w:rPr>
          <w:rFonts w:ascii="Calibri" w:hAnsi="Calibri" w:cs="Calibri"/>
          <w:color w:val="000000" w:themeColor="text1"/>
          <w:szCs w:val="24"/>
        </w:rPr>
      </w:pPr>
    </w:p>
    <w:p w:rsidRPr="00D97D43" w:rsidR="002F6CBD" w:rsidP="00D97D43" w:rsidRDefault="002F6CBD" w14:paraId="5516853E"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Exempt Employees</w:t>
      </w:r>
    </w:p>
    <w:p w:rsidRPr="00D97D43" w:rsidR="002F6CBD" w:rsidP="00D97D43" w:rsidRDefault="002F6CBD" w14:paraId="5C027F8D" w14:textId="77777777">
      <w:pPr>
        <w:numPr>
          <w:ilvl w:val="1"/>
          <w:numId w:val="23"/>
        </w:numPr>
        <w:spacing w:line="264" w:lineRule="auto"/>
        <w:rPr>
          <w:rFonts w:ascii="Calibri" w:hAnsi="Calibri" w:cs="Calibri"/>
          <w:color w:val="000000" w:themeColor="text1"/>
          <w:szCs w:val="24"/>
        </w:rPr>
      </w:pPr>
      <w:r w:rsidRPr="00D97D43">
        <w:rPr>
          <w:rFonts w:ascii="Calibri" w:hAnsi="Calibri" w:cs="Calibri"/>
          <w:color w:val="000000" w:themeColor="text1"/>
          <w:szCs w:val="24"/>
        </w:rPr>
        <w:t>Exempt employees are expected to work the number of hours necessary to fulfill their job responsibilities, typically at least 40 hours per week.</w:t>
      </w:r>
    </w:p>
    <w:p w:rsidRPr="00D97D43" w:rsidR="002F6CBD" w:rsidP="00D97D43" w:rsidRDefault="002F6CBD" w14:paraId="66E430DE" w14:textId="77777777">
      <w:pPr>
        <w:numPr>
          <w:ilvl w:val="1"/>
          <w:numId w:val="23"/>
        </w:numPr>
        <w:spacing w:line="264" w:lineRule="auto"/>
        <w:rPr>
          <w:rFonts w:ascii="Calibri" w:hAnsi="Calibri" w:cs="Calibri"/>
          <w:color w:val="000000" w:themeColor="text1"/>
          <w:szCs w:val="24"/>
        </w:rPr>
      </w:pPr>
      <w:r w:rsidRPr="00D97D43">
        <w:rPr>
          <w:rFonts w:ascii="Calibri" w:hAnsi="Calibri" w:cs="Calibri"/>
          <w:color w:val="000000" w:themeColor="text1"/>
          <w:szCs w:val="24"/>
        </w:rPr>
        <w:lastRenderedPageBreak/>
        <w:t>These employees are not eligible for overtime or compensatory time, regardless of hours worked beyond the standard workweek.</w:t>
      </w:r>
    </w:p>
    <w:p w:rsidRPr="00D97D43" w:rsidR="00D97D43" w:rsidP="00D97D43" w:rsidRDefault="00D97D43" w14:paraId="5AF154D8" w14:textId="77777777">
      <w:pPr>
        <w:spacing w:line="264" w:lineRule="auto"/>
        <w:ind w:left="1440"/>
        <w:rPr>
          <w:rFonts w:ascii="Calibri" w:hAnsi="Calibri" w:cs="Calibri"/>
          <w:color w:val="000000" w:themeColor="text1"/>
          <w:szCs w:val="24"/>
        </w:rPr>
      </w:pPr>
    </w:p>
    <w:p w:rsidRPr="00D97D43" w:rsidR="002F6CBD" w:rsidP="00D97D43" w:rsidRDefault="002F6CBD" w14:paraId="5B339D06"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Non-Exempt Employees</w:t>
      </w:r>
    </w:p>
    <w:p w:rsidRPr="00D97D43" w:rsidR="002F6CBD" w:rsidP="00D97D43" w:rsidRDefault="002F6CBD" w14:paraId="661BC9FE" w14:textId="77777777">
      <w:pPr>
        <w:numPr>
          <w:ilvl w:val="1"/>
          <w:numId w:val="24"/>
        </w:numPr>
        <w:spacing w:line="264" w:lineRule="auto"/>
        <w:rPr>
          <w:rFonts w:ascii="Calibri" w:hAnsi="Calibri" w:cs="Calibri"/>
          <w:color w:val="000000" w:themeColor="text1"/>
          <w:szCs w:val="24"/>
        </w:rPr>
      </w:pPr>
      <w:r w:rsidRPr="00D97D43">
        <w:rPr>
          <w:rFonts w:ascii="Calibri" w:hAnsi="Calibri" w:cs="Calibri"/>
          <w:color w:val="000000" w:themeColor="text1"/>
          <w:szCs w:val="24"/>
        </w:rPr>
        <w:t>Non-exempt employees are scheduled to work 40 hours per week unless otherwise specified by department needs.</w:t>
      </w:r>
    </w:p>
    <w:p w:rsidRPr="00D97D43" w:rsidR="002F6CBD" w:rsidP="00D97D43" w:rsidRDefault="002F6CBD" w14:paraId="5320F4CE" w14:textId="77777777">
      <w:pPr>
        <w:numPr>
          <w:ilvl w:val="1"/>
          <w:numId w:val="24"/>
        </w:numPr>
        <w:spacing w:line="264" w:lineRule="auto"/>
        <w:rPr>
          <w:rFonts w:ascii="Calibri" w:hAnsi="Calibri" w:cs="Calibri"/>
          <w:color w:val="000000" w:themeColor="text1"/>
          <w:szCs w:val="24"/>
        </w:rPr>
      </w:pPr>
      <w:r w:rsidRPr="00D97D43">
        <w:rPr>
          <w:rFonts w:ascii="Calibri" w:hAnsi="Calibri" w:cs="Calibri"/>
          <w:color w:val="000000" w:themeColor="text1"/>
          <w:szCs w:val="24"/>
        </w:rPr>
        <w:t xml:space="preserve">Overtime is calculated for hours worked </w:t>
      </w:r>
      <w:proofErr w:type="gramStart"/>
      <w:r w:rsidRPr="00D97D43">
        <w:rPr>
          <w:rFonts w:ascii="Calibri" w:hAnsi="Calibri" w:cs="Calibri"/>
          <w:color w:val="000000" w:themeColor="text1"/>
          <w:szCs w:val="24"/>
        </w:rPr>
        <w:t>in excess of</w:t>
      </w:r>
      <w:proofErr w:type="gramEnd"/>
      <w:r w:rsidRPr="00D97D43">
        <w:rPr>
          <w:rFonts w:ascii="Calibri" w:hAnsi="Calibri" w:cs="Calibri"/>
          <w:color w:val="000000" w:themeColor="text1"/>
          <w:szCs w:val="24"/>
        </w:rPr>
        <w:t xml:space="preserve"> 40 in the standard workweek or as defined by specific work periods for public safety roles.</w:t>
      </w:r>
    </w:p>
    <w:p w:rsidRPr="00D97D43" w:rsidR="00D97D43" w:rsidP="00D97D43" w:rsidRDefault="00D97D43" w14:paraId="125B3C00" w14:textId="77777777">
      <w:pPr>
        <w:spacing w:line="264" w:lineRule="auto"/>
        <w:ind w:left="1440"/>
        <w:rPr>
          <w:rFonts w:ascii="Calibri" w:hAnsi="Calibri" w:cs="Calibri"/>
          <w:color w:val="000000" w:themeColor="text1"/>
          <w:szCs w:val="24"/>
        </w:rPr>
      </w:pPr>
    </w:p>
    <w:p w:rsidRPr="00D97D43" w:rsidR="002F6CBD" w:rsidP="00D97D43" w:rsidRDefault="002F6CBD" w14:paraId="325C7361"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Alternative Work Periods</w:t>
      </w:r>
    </w:p>
    <w:p w:rsidRPr="00D97D43" w:rsidR="002F6CBD" w:rsidP="00D97D43" w:rsidRDefault="002F6CBD" w14:paraId="1FC32356" w14:textId="62C7C0D5">
      <w:pPr>
        <w:numPr>
          <w:ilvl w:val="1"/>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Certain classifications, such as sworn police officers and firefighters, follow an alternative work period in accordance with FLSA guidelines - examples:</w:t>
      </w:r>
    </w:p>
    <w:p w:rsidRPr="00D97D43" w:rsidR="002F6CBD" w:rsidP="00D97D43" w:rsidRDefault="002F6CBD" w14:paraId="1C2F5E94" w14:textId="77777777">
      <w:pPr>
        <w:numPr>
          <w:ilvl w:val="2"/>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Police Officers: 14-day work period consisting of 80 hours.</w:t>
      </w:r>
    </w:p>
    <w:p w:rsidRPr="00D97D43" w:rsidR="002F6CBD" w:rsidP="00D97D43" w:rsidRDefault="002F6CBD" w14:paraId="604C206A" w14:textId="77777777">
      <w:pPr>
        <w:numPr>
          <w:ilvl w:val="2"/>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Firefighters (24/48 schedule): 28-day work period consisting of 212 hours.</w:t>
      </w:r>
    </w:p>
    <w:p w:rsidRPr="00D97D43" w:rsidR="00D97D43" w:rsidP="00D97D43" w:rsidRDefault="00D97D43" w14:paraId="6C05D056" w14:textId="77777777">
      <w:pPr>
        <w:spacing w:line="264" w:lineRule="auto"/>
        <w:ind w:left="2160"/>
        <w:rPr>
          <w:rFonts w:ascii="Calibri" w:hAnsi="Calibri" w:cs="Calibri"/>
          <w:color w:val="000000" w:themeColor="text1"/>
          <w:szCs w:val="24"/>
        </w:rPr>
      </w:pPr>
    </w:p>
    <w:p w:rsidRPr="00D97D43" w:rsidR="002F6CBD" w:rsidP="00D97D43" w:rsidRDefault="002F6CBD" w14:paraId="63847BBD"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Work Schedule Adjustments</w:t>
      </w:r>
    </w:p>
    <w:p w:rsidRPr="00D97D43" w:rsidR="002F6CBD" w:rsidP="659AA316" w:rsidRDefault="002F6CBD" w14:paraId="6C8BFDD0" w14:textId="337AE73E">
      <w:pPr>
        <w:numPr>
          <w:ilvl w:val="1"/>
          <w:numId w:val="21"/>
        </w:numPr>
        <w:spacing w:line="264" w:lineRule="auto"/>
        <w:rPr>
          <w:rFonts w:ascii="Calibri" w:hAnsi="Calibri" w:cs="Calibri"/>
          <w:color w:val="000000" w:themeColor="text1"/>
        </w:rPr>
      </w:pPr>
      <w:r w:rsidRPr="3EE6B048" w:rsidR="002F6CBD">
        <w:rPr>
          <w:rFonts w:ascii="Calibri" w:hAnsi="Calibri" w:cs="Calibri"/>
          <w:color w:val="000000" w:themeColor="text1" w:themeTint="FF" w:themeShade="FF"/>
        </w:rPr>
        <w:t xml:space="preserve">Department heads may adjust individual work schedules based on operational requirements, provided that any such changes </w:t>
      </w:r>
      <w:r w:rsidRPr="3EE6B048" w:rsidR="002F6CBD">
        <w:rPr>
          <w:rFonts w:ascii="Calibri" w:hAnsi="Calibri" w:cs="Calibri"/>
          <w:color w:val="000000" w:themeColor="text1" w:themeTint="FF" w:themeShade="FF"/>
        </w:rPr>
        <w:t>remain</w:t>
      </w:r>
      <w:r w:rsidRPr="3EE6B048" w:rsidR="002F6CBD">
        <w:rPr>
          <w:rFonts w:ascii="Calibri" w:hAnsi="Calibri" w:cs="Calibri"/>
          <w:color w:val="000000" w:themeColor="text1" w:themeTint="FF" w:themeShade="FF"/>
        </w:rPr>
        <w:t xml:space="preserve"> consistent with applicable laws </w:t>
      </w:r>
      <w:r w:rsidRPr="3EE6B048" w:rsidR="00A6C7FF">
        <w:rPr>
          <w:rFonts w:ascii="Calibri" w:hAnsi="Calibri" w:cs="Calibri"/>
          <w:color w:val="000000" w:themeColor="text1" w:themeTint="FF" w:themeShade="FF"/>
        </w:rPr>
        <w:t>[</w:t>
      </w:r>
      <w:r w:rsidRPr="3EE6B048" w:rsidR="002F6CBD">
        <w:rPr>
          <w:rFonts w:ascii="Calibri" w:hAnsi="Calibri" w:cs="Calibri"/>
          <w:color w:val="000000" w:themeColor="text1" w:themeTint="FF" w:themeShade="FF"/>
        </w:rPr>
        <w:t>and do not conflict with labor agreements</w:t>
      </w:r>
      <w:r w:rsidRPr="3EE6B048" w:rsidR="49995AE1">
        <w:rPr>
          <w:rFonts w:ascii="Calibri" w:hAnsi="Calibri" w:cs="Calibri"/>
          <w:color w:val="000000" w:themeColor="text1" w:themeTint="FF" w:themeShade="FF"/>
        </w:rPr>
        <w:t xml:space="preserve"> (if applicable)</w:t>
      </w:r>
      <w:r w:rsidRPr="3EE6B048" w:rsidR="49995AE1">
        <w:rPr>
          <w:rFonts w:ascii="Calibri" w:hAnsi="Calibri" w:cs="Calibri"/>
          <w:color w:val="000000" w:themeColor="text1" w:themeTint="FF" w:themeShade="FF"/>
        </w:rPr>
        <w:t>]</w:t>
      </w:r>
      <w:r w:rsidRPr="3EE6B048" w:rsidR="002F6CBD">
        <w:rPr>
          <w:rFonts w:ascii="Calibri" w:hAnsi="Calibri" w:cs="Calibri"/>
          <w:color w:val="000000" w:themeColor="text1" w:themeTint="FF" w:themeShade="FF"/>
        </w:rPr>
        <w:t>.</w:t>
      </w:r>
    </w:p>
    <w:p w:rsidRPr="00D97D43" w:rsidR="00D97D43" w:rsidP="00D97D43" w:rsidRDefault="00D97D43" w14:paraId="34CA12E0" w14:textId="77777777">
      <w:pPr>
        <w:spacing w:line="264" w:lineRule="auto"/>
        <w:ind w:left="1440"/>
        <w:rPr>
          <w:rFonts w:ascii="Calibri" w:hAnsi="Calibri" w:cs="Calibri"/>
          <w:color w:val="000000" w:themeColor="text1"/>
          <w:szCs w:val="24"/>
        </w:rPr>
      </w:pPr>
    </w:p>
    <w:p w:rsidRPr="00D97D43" w:rsidR="002F6CBD" w:rsidP="00D97D43" w:rsidRDefault="002F6CBD" w14:paraId="519513F1"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Recordkeeping</w:t>
      </w:r>
    </w:p>
    <w:p w:rsidRPr="00D97D43" w:rsidR="002F6CBD" w:rsidP="00D97D43" w:rsidRDefault="002F6CBD" w14:paraId="5F2AD64C" w14:textId="77777777">
      <w:pPr>
        <w:numPr>
          <w:ilvl w:val="1"/>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Accurate records of all hours worked must be maintained through the City’s designated timekeeping system.</w:t>
      </w:r>
    </w:p>
    <w:p w:rsidRPr="00D97D43" w:rsidR="002F6CBD" w:rsidP="00D97D43" w:rsidRDefault="002F6CBD" w14:paraId="096C01F9" w14:textId="77777777">
      <w:pPr>
        <w:numPr>
          <w:ilvl w:val="1"/>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Supervisors are responsible for verifying time records and ensuring compliance with workweek rules.</w:t>
      </w:r>
    </w:p>
    <w:p w:rsidRPr="00D97D43" w:rsidR="00D97D43" w:rsidP="00D97D43" w:rsidRDefault="00D97D43" w14:paraId="42949A6F" w14:textId="77777777">
      <w:pPr>
        <w:spacing w:line="264" w:lineRule="auto"/>
        <w:ind w:left="1440"/>
        <w:rPr>
          <w:rFonts w:ascii="Calibri" w:hAnsi="Calibri" w:cs="Calibri"/>
          <w:color w:val="000000" w:themeColor="text1"/>
          <w:szCs w:val="24"/>
        </w:rPr>
      </w:pPr>
    </w:p>
    <w:p w:rsidRPr="00D97D43" w:rsidR="002F6CBD" w:rsidP="00D97D43" w:rsidRDefault="002F6CBD" w14:paraId="0F945133" w14:textId="77777777">
      <w:pPr>
        <w:numPr>
          <w:ilvl w:val="0"/>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Policy Compliance</w:t>
      </w:r>
    </w:p>
    <w:p w:rsidRPr="00D97D43" w:rsidR="002F6CBD" w:rsidP="00D97D43" w:rsidRDefault="002F6CBD" w14:paraId="47FBDDA8" w14:textId="77777777">
      <w:pPr>
        <w:numPr>
          <w:ilvl w:val="1"/>
          <w:numId w:val="21"/>
        </w:numPr>
        <w:spacing w:line="264" w:lineRule="auto"/>
        <w:rPr>
          <w:rFonts w:ascii="Calibri" w:hAnsi="Calibri" w:cs="Calibri"/>
          <w:color w:val="000000" w:themeColor="text1"/>
          <w:szCs w:val="24"/>
        </w:rPr>
      </w:pPr>
      <w:r w:rsidRPr="00D97D43">
        <w:rPr>
          <w:rFonts w:ascii="Calibri" w:hAnsi="Calibri" w:cs="Calibri"/>
          <w:color w:val="000000" w:themeColor="text1"/>
          <w:szCs w:val="24"/>
        </w:rPr>
        <w:t>Any deviations from this policy must be approved by the Human Resources Department and may be subject to review for legal compliance.</w:t>
      </w:r>
    </w:p>
    <w:p w:rsidRPr="002F6CBD" w:rsidR="00020B65" w:rsidP="002F6CBD" w:rsidRDefault="00020B65" w14:paraId="0A6A87FC" w14:textId="77777777">
      <w:pPr>
        <w:tabs>
          <w:tab w:val="num" w:pos="720"/>
        </w:tabs>
        <w:rPr>
          <w:rFonts w:ascii="Calibri" w:hAnsi="Calibri" w:cs="Calibri"/>
          <w:szCs w:val="24"/>
        </w:rPr>
      </w:pPr>
    </w:p>
    <w:sectPr w:rsidRPr="002F6CBD" w:rsidR="00020B6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FFB"/>
    <w:multiLevelType w:val="hybridMultilevel"/>
    <w:tmpl w:val="5D227A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555E6"/>
    <w:multiLevelType w:val="hybridMultilevel"/>
    <w:tmpl w:val="C40EDFF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F092E"/>
    <w:multiLevelType w:val="multilevel"/>
    <w:tmpl w:val="C310C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03051"/>
    <w:multiLevelType w:val="hybridMultilevel"/>
    <w:tmpl w:val="9036D7B6"/>
    <w:lvl w:ilvl="0" w:tplc="717AF546">
      <w:start w:val="1"/>
      <w:numFmt w:val="upperLetter"/>
      <w:lvlText w:val="%1."/>
      <w:lvlJc w:val="left"/>
      <w:pPr>
        <w:tabs>
          <w:tab w:val="num" w:pos="432"/>
        </w:tabs>
        <w:ind w:left="432" w:hanging="432"/>
      </w:pPr>
    </w:lvl>
    <w:lvl w:ilvl="1" w:tplc="E5347B0E">
      <w:start w:val="1"/>
      <w:numFmt w:val="upperLetter"/>
      <w:lvlText w:val="%2."/>
      <w:lvlJc w:val="left"/>
      <w:pPr>
        <w:tabs>
          <w:tab w:val="num" w:pos="432"/>
        </w:tabs>
        <w:ind w:left="432" w:hanging="432"/>
      </w:pPr>
      <w:rPr>
        <w:rFonts w:hint="default" w:ascii="Arial" w:hAnsi="Arial" w:cs="Times New Roman"/>
        <w:sz w:val="24"/>
      </w:rPr>
    </w:lvl>
    <w:lvl w:ilvl="2" w:tplc="E3526942">
      <w:start w:val="2"/>
      <w:numFmt w:val="upperLetter"/>
      <w:lvlText w:val="%3."/>
      <w:lvlJc w:val="left"/>
      <w:pPr>
        <w:tabs>
          <w:tab w:val="num" w:pos="432"/>
        </w:tabs>
        <w:ind w:left="432" w:hanging="432"/>
      </w:pPr>
      <w:rPr>
        <w:rFonts w:hint="default" w:ascii="Arial" w:hAnsi="Arial" w:cs="Times New Roman"/>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151C1D"/>
    <w:multiLevelType w:val="hybridMultilevel"/>
    <w:tmpl w:val="82162E24"/>
    <w:lvl w:ilvl="0" w:tplc="8C369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005FE"/>
    <w:multiLevelType w:val="hybridMultilevel"/>
    <w:tmpl w:val="4FCA741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A1B43"/>
    <w:multiLevelType w:val="hybridMultilevel"/>
    <w:tmpl w:val="3862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62DEE"/>
    <w:multiLevelType w:val="multilevel"/>
    <w:tmpl w:val="98B87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2F95426"/>
    <w:multiLevelType w:val="hybridMultilevel"/>
    <w:tmpl w:val="059C817A"/>
    <w:lvl w:ilvl="0" w:tplc="0409000F">
      <w:start w:val="1"/>
      <w:numFmt w:val="decimal"/>
      <w:lvlText w:val="%1."/>
      <w:lvlJc w:val="left"/>
      <w:pPr>
        <w:tabs>
          <w:tab w:val="num" w:pos="432"/>
        </w:tabs>
        <w:ind w:left="432" w:hanging="432"/>
      </w:pPr>
      <w:rPr>
        <w:rFonts w:hint="default"/>
        <w:sz w:val="24"/>
      </w:rPr>
    </w:lvl>
    <w:lvl w:ilvl="1" w:tplc="9940DA78">
      <w:start w:val="1"/>
      <w:numFmt w:val="decimal"/>
      <w:lvlText w:val="%2."/>
      <w:lvlJc w:val="left"/>
      <w:pPr>
        <w:tabs>
          <w:tab w:val="num" w:pos="864"/>
        </w:tabs>
        <w:ind w:left="864" w:hanging="432"/>
      </w:pPr>
    </w:lvl>
    <w:lvl w:ilvl="2" w:tplc="2C3EAC1A">
      <w:start w:val="3"/>
      <w:numFmt w:val="decimal"/>
      <w:lvlText w:val="%3."/>
      <w:lvlJc w:val="left"/>
      <w:pPr>
        <w:tabs>
          <w:tab w:val="num" w:pos="864"/>
        </w:tabs>
        <w:ind w:left="864" w:hanging="432"/>
      </w:pPr>
      <w:rPr>
        <w:rFonts w:hint="default"/>
      </w:rPr>
    </w:lvl>
    <w:lvl w:ilvl="3" w:tplc="C964BE8E">
      <w:start w:val="4"/>
      <w:numFmt w:val="decimal"/>
      <w:lvlText w:val="%4."/>
      <w:lvlJc w:val="left"/>
      <w:pPr>
        <w:tabs>
          <w:tab w:val="num" w:pos="864"/>
        </w:tabs>
        <w:ind w:left="864" w:hanging="432"/>
      </w:pPr>
    </w:lvl>
    <w:lvl w:ilvl="4" w:tplc="BE0EB766">
      <w:start w:val="5"/>
      <w:numFmt w:val="decimal"/>
      <w:lvlText w:val="%5."/>
      <w:lvlJc w:val="left"/>
      <w:pPr>
        <w:tabs>
          <w:tab w:val="num" w:pos="864"/>
        </w:tabs>
        <w:ind w:left="864" w:hanging="432"/>
      </w:pPr>
    </w:lvl>
    <w:lvl w:ilvl="5" w:tplc="D1ECEE94">
      <w:start w:val="4"/>
      <w:numFmt w:val="upperLetter"/>
      <w:lvlText w:val="%6."/>
      <w:lvlJc w:val="left"/>
      <w:pPr>
        <w:tabs>
          <w:tab w:val="num" w:pos="432"/>
        </w:tabs>
        <w:ind w:left="432" w:hanging="432"/>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A045FF"/>
    <w:multiLevelType w:val="hybridMultilevel"/>
    <w:tmpl w:val="19E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B171D6"/>
    <w:multiLevelType w:val="multilevel"/>
    <w:tmpl w:val="5BDEE4E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09B72D3"/>
    <w:multiLevelType w:val="hybridMultilevel"/>
    <w:tmpl w:val="C7BE62F2"/>
    <w:lvl w:ilvl="0" w:tplc="B1CC4C2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21E17"/>
    <w:multiLevelType w:val="hybridMultilevel"/>
    <w:tmpl w:val="53F8DF88"/>
    <w:lvl w:ilvl="0" w:tplc="7CA68C78">
      <w:start w:val="3"/>
      <w:numFmt w:val="upperLetter"/>
      <w:lvlText w:val="%1."/>
      <w:lvlJc w:val="left"/>
      <w:pPr>
        <w:tabs>
          <w:tab w:val="num" w:pos="432"/>
        </w:tabs>
        <w:ind w:left="432" w:hanging="432"/>
      </w:pPr>
      <w:rPr>
        <w:rFonts w:hint="default" w:ascii="Arial" w:hAnsi="Arial" w:cs="Times New Roman"/>
        <w:sz w:val="24"/>
      </w:rPr>
    </w:lvl>
    <w:lvl w:ilvl="1" w:tplc="9940DA78">
      <w:start w:val="1"/>
      <w:numFmt w:val="decimal"/>
      <w:lvlText w:val="%2."/>
      <w:lvlJc w:val="left"/>
      <w:pPr>
        <w:tabs>
          <w:tab w:val="num" w:pos="864"/>
        </w:tabs>
        <w:ind w:left="864" w:hanging="432"/>
      </w:pPr>
    </w:lvl>
    <w:lvl w:ilvl="2" w:tplc="2C3EAC1A">
      <w:start w:val="3"/>
      <w:numFmt w:val="decimal"/>
      <w:lvlText w:val="%3."/>
      <w:lvlJc w:val="left"/>
      <w:pPr>
        <w:tabs>
          <w:tab w:val="num" w:pos="864"/>
        </w:tabs>
        <w:ind w:left="864" w:hanging="432"/>
      </w:pPr>
      <w:rPr>
        <w:rFonts w:hint="default"/>
      </w:rPr>
    </w:lvl>
    <w:lvl w:ilvl="3" w:tplc="C964BE8E">
      <w:start w:val="4"/>
      <w:numFmt w:val="decimal"/>
      <w:lvlText w:val="%4."/>
      <w:lvlJc w:val="left"/>
      <w:pPr>
        <w:tabs>
          <w:tab w:val="num" w:pos="864"/>
        </w:tabs>
        <w:ind w:left="864" w:hanging="432"/>
      </w:pPr>
    </w:lvl>
    <w:lvl w:ilvl="4" w:tplc="BE0EB766">
      <w:start w:val="5"/>
      <w:numFmt w:val="decimal"/>
      <w:lvlText w:val="%5."/>
      <w:lvlJc w:val="left"/>
      <w:pPr>
        <w:tabs>
          <w:tab w:val="num" w:pos="864"/>
        </w:tabs>
        <w:ind w:left="864" w:hanging="432"/>
      </w:pPr>
    </w:lvl>
    <w:lvl w:ilvl="5" w:tplc="D1ECEE94">
      <w:start w:val="4"/>
      <w:numFmt w:val="upperLetter"/>
      <w:lvlText w:val="%6."/>
      <w:lvlJc w:val="left"/>
      <w:pPr>
        <w:tabs>
          <w:tab w:val="num" w:pos="432"/>
        </w:tabs>
        <w:ind w:left="432" w:hanging="432"/>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4707A71"/>
    <w:multiLevelType w:val="hybridMultilevel"/>
    <w:tmpl w:val="1E5C0D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8A1121"/>
    <w:multiLevelType w:val="hybridMultilevel"/>
    <w:tmpl w:val="9634C02E"/>
    <w:lvl w:ilvl="0" w:tplc="322663C2">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00A9C"/>
    <w:multiLevelType w:val="hybridMultilevel"/>
    <w:tmpl w:val="0DEA336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3D5B74"/>
    <w:multiLevelType w:val="hybridMultilevel"/>
    <w:tmpl w:val="5AAE59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344DF"/>
    <w:multiLevelType w:val="hybridMultilevel"/>
    <w:tmpl w:val="8CE00E20"/>
    <w:lvl w:ilvl="0" w:tplc="0409000F">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B48F5"/>
    <w:multiLevelType w:val="multilevel"/>
    <w:tmpl w:val="3A3C9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3B31440"/>
    <w:multiLevelType w:val="hybridMultilevel"/>
    <w:tmpl w:val="33F0F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F4794"/>
    <w:multiLevelType w:val="hybridMultilevel"/>
    <w:tmpl w:val="7766E8E6"/>
    <w:lvl w:ilvl="0" w:tplc="0FA0ED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27555"/>
    <w:multiLevelType w:val="hybridMultilevel"/>
    <w:tmpl w:val="6DC8202E"/>
    <w:lvl w:ilvl="0" w:tplc="7840C5A2">
      <w:start w:val="4"/>
      <w:numFmt w:val="upperLetter"/>
      <w:lvlText w:val="%1."/>
      <w:lvlJc w:val="left"/>
      <w:pPr>
        <w:tabs>
          <w:tab w:val="num" w:pos="432"/>
        </w:tabs>
        <w:ind w:left="432" w:hanging="432"/>
      </w:pPr>
      <w:rPr>
        <w:rFonts w:hint="default" w:ascii="Arial" w:hAnsi="Arial" w:cs="Times New Roman"/>
        <w:sz w:val="24"/>
      </w:rPr>
    </w:lvl>
    <w:lvl w:ilvl="1" w:tplc="40A0936A">
      <w:start w:val="1"/>
      <w:numFmt w:val="decimal"/>
      <w:lvlText w:val="%2."/>
      <w:lvlJc w:val="left"/>
      <w:pPr>
        <w:tabs>
          <w:tab w:val="num" w:pos="864"/>
        </w:tabs>
        <w:ind w:left="864" w:hanging="432"/>
      </w:pPr>
      <w:rPr>
        <w:rFonts w:hint="default" w:ascii="Arial" w:hAnsi="Arial" w:cs="Times New Roman"/>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A0E758F"/>
    <w:multiLevelType w:val="multilevel"/>
    <w:tmpl w:val="79D2F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805FCA"/>
    <w:multiLevelType w:val="hybridMultilevel"/>
    <w:tmpl w:val="575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638371">
    <w:abstractNumId w:val="20"/>
  </w:num>
  <w:num w:numId="2" w16cid:durableId="620112520">
    <w:abstractNumId w:val="23"/>
  </w:num>
  <w:num w:numId="3" w16cid:durableId="1934776592">
    <w:abstractNumId w:val="4"/>
  </w:num>
  <w:num w:numId="4" w16cid:durableId="322468319">
    <w:abstractNumId w:val="17"/>
  </w:num>
  <w:num w:numId="5" w16cid:durableId="1049645097">
    <w:abstractNumId w:val="11"/>
  </w:num>
  <w:num w:numId="6" w16cid:durableId="493763819">
    <w:abstractNumId w:val="14"/>
  </w:num>
  <w:num w:numId="7" w16cid:durableId="1227958306">
    <w:abstractNumId w:val="2"/>
  </w:num>
  <w:num w:numId="8" w16cid:durableId="1602450574">
    <w:abstractNumId w:val="18"/>
  </w:num>
  <w:num w:numId="9" w16cid:durableId="722412331">
    <w:abstractNumId w:val="19"/>
  </w:num>
  <w:num w:numId="10" w16cid:durableId="894698165">
    <w:abstractNumId w:val="0"/>
  </w:num>
  <w:num w:numId="11" w16cid:durableId="1971858686">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035212">
    <w:abstractNumId w:val="12"/>
  </w:num>
  <w:num w:numId="13" w16cid:durableId="1425494129">
    <w:abstractNumId w:val="21"/>
  </w:num>
  <w:num w:numId="14" w16cid:durableId="1519927833">
    <w:abstractNumId w:val="6"/>
  </w:num>
  <w:num w:numId="15" w16cid:durableId="142239459">
    <w:abstractNumId w:val="9"/>
  </w:num>
  <w:num w:numId="16" w16cid:durableId="2029140324">
    <w:abstractNumId w:val="8"/>
  </w:num>
  <w:num w:numId="17" w16cid:durableId="1003554030">
    <w:abstractNumId w:val="13"/>
  </w:num>
  <w:num w:numId="18" w16cid:durableId="1731536096">
    <w:abstractNumId w:val="7"/>
  </w:num>
  <w:num w:numId="19" w16cid:durableId="90470335">
    <w:abstractNumId w:val="22"/>
  </w:num>
  <w:num w:numId="20" w16cid:durableId="1872567897">
    <w:abstractNumId w:val="10"/>
  </w:num>
  <w:num w:numId="21" w16cid:durableId="1779372141">
    <w:abstractNumId w:val="16"/>
  </w:num>
  <w:num w:numId="22" w16cid:durableId="365714380">
    <w:abstractNumId w:val="1"/>
  </w:num>
  <w:num w:numId="23" w16cid:durableId="703795414">
    <w:abstractNumId w:val="15"/>
  </w:num>
  <w:num w:numId="24" w16cid:durableId="25220202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E8"/>
    <w:rsid w:val="00020B65"/>
    <w:rsid w:val="000D21EC"/>
    <w:rsid w:val="000D4A8E"/>
    <w:rsid w:val="001D5F06"/>
    <w:rsid w:val="001E375C"/>
    <w:rsid w:val="00233F68"/>
    <w:rsid w:val="0026715E"/>
    <w:rsid w:val="002F6CBD"/>
    <w:rsid w:val="005A673F"/>
    <w:rsid w:val="00644755"/>
    <w:rsid w:val="006A2CD9"/>
    <w:rsid w:val="008E219E"/>
    <w:rsid w:val="009422C8"/>
    <w:rsid w:val="009478B3"/>
    <w:rsid w:val="00971C75"/>
    <w:rsid w:val="00A6C7FF"/>
    <w:rsid w:val="00A8337A"/>
    <w:rsid w:val="00AB5E1B"/>
    <w:rsid w:val="00AD31E8"/>
    <w:rsid w:val="00B27CC7"/>
    <w:rsid w:val="00C110E4"/>
    <w:rsid w:val="00C45601"/>
    <w:rsid w:val="00C52C99"/>
    <w:rsid w:val="00D14335"/>
    <w:rsid w:val="00D8731F"/>
    <w:rsid w:val="00D97D43"/>
    <w:rsid w:val="00EC6E15"/>
    <w:rsid w:val="00F5306F"/>
    <w:rsid w:val="00FB5522"/>
    <w:rsid w:val="0E7ED4C5"/>
    <w:rsid w:val="3EE6B048"/>
    <w:rsid w:val="49995AE1"/>
    <w:rsid w:val="5D4FF505"/>
    <w:rsid w:val="659AA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83A"/>
  <w15:chartTrackingRefBased/>
  <w15:docId w15:val="{4AD4F1DF-374D-49A3-BA8E-2E739AD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1E8"/>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AD31E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1E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1E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31E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31E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31E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31E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31E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31E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31E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31E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31E8"/>
    <w:rPr>
      <w:rFonts w:eastAsiaTheme="majorEastAsia" w:cstheme="majorBidi"/>
      <w:color w:val="272727" w:themeColor="text1" w:themeTint="D8"/>
    </w:rPr>
  </w:style>
  <w:style w:type="paragraph" w:styleId="Title">
    <w:name w:val="Title"/>
    <w:basedOn w:val="Normal"/>
    <w:next w:val="Normal"/>
    <w:link w:val="TitleChar"/>
    <w:uiPriority w:val="10"/>
    <w:qFormat/>
    <w:rsid w:val="00AD31E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31E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31E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3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1E8"/>
    <w:pPr>
      <w:spacing w:before="160"/>
      <w:jc w:val="center"/>
    </w:pPr>
    <w:rPr>
      <w:i/>
      <w:iCs/>
      <w:color w:val="404040" w:themeColor="text1" w:themeTint="BF"/>
    </w:rPr>
  </w:style>
  <w:style w:type="character" w:styleId="QuoteChar" w:customStyle="1">
    <w:name w:val="Quote Char"/>
    <w:basedOn w:val="DefaultParagraphFont"/>
    <w:link w:val="Quote"/>
    <w:uiPriority w:val="29"/>
    <w:rsid w:val="00AD31E8"/>
    <w:rPr>
      <w:i/>
      <w:iCs/>
      <w:color w:val="404040" w:themeColor="text1" w:themeTint="BF"/>
    </w:rPr>
  </w:style>
  <w:style w:type="paragraph" w:styleId="ListParagraph">
    <w:name w:val="List Paragraph"/>
    <w:basedOn w:val="Normal"/>
    <w:uiPriority w:val="34"/>
    <w:qFormat/>
    <w:rsid w:val="00AD31E8"/>
    <w:pPr>
      <w:ind w:left="720"/>
      <w:contextualSpacing/>
    </w:pPr>
  </w:style>
  <w:style w:type="character" w:styleId="IntenseEmphasis">
    <w:name w:val="Intense Emphasis"/>
    <w:basedOn w:val="DefaultParagraphFont"/>
    <w:uiPriority w:val="21"/>
    <w:qFormat/>
    <w:rsid w:val="00AD31E8"/>
    <w:rPr>
      <w:i/>
      <w:iCs/>
      <w:color w:val="0F4761" w:themeColor="accent1" w:themeShade="BF"/>
    </w:rPr>
  </w:style>
  <w:style w:type="paragraph" w:styleId="IntenseQuote">
    <w:name w:val="Intense Quote"/>
    <w:basedOn w:val="Normal"/>
    <w:next w:val="Normal"/>
    <w:link w:val="IntenseQuoteChar"/>
    <w:uiPriority w:val="30"/>
    <w:qFormat/>
    <w:rsid w:val="00AD31E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31E8"/>
    <w:rPr>
      <w:i/>
      <w:iCs/>
      <w:color w:val="0F4761" w:themeColor="accent1" w:themeShade="BF"/>
    </w:rPr>
  </w:style>
  <w:style w:type="character" w:styleId="IntenseReference">
    <w:name w:val="Intense Reference"/>
    <w:basedOn w:val="DefaultParagraphFont"/>
    <w:uiPriority w:val="32"/>
    <w:qFormat/>
    <w:rsid w:val="00AD31E8"/>
    <w:rPr>
      <w:b/>
      <w:bCs/>
      <w:smallCaps/>
      <w:color w:val="0F4761" w:themeColor="accent1" w:themeShade="BF"/>
      <w:spacing w:val="5"/>
    </w:rPr>
  </w:style>
  <w:style w:type="table" w:styleId="TableGrid">
    <w:name w:val="Table Grid"/>
    <w:basedOn w:val="TableNormal"/>
    <w:uiPriority w:val="39"/>
    <w:rsid w:val="001D5F06"/>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nhideWhenUsed/>
    <w:rsid w:val="001D5F06"/>
    <w:pPr>
      <w:widowControl/>
      <w:jc w:val="both"/>
    </w:pPr>
    <w:rPr>
      <w:rFonts w:ascii="Univers (WN)" w:hAnsi="Univers (WN)"/>
      <w:snapToGrid/>
      <w14:ligatures w14:val="none"/>
    </w:rPr>
  </w:style>
  <w:style w:type="character" w:styleId="BodyTextChar" w:customStyle="1">
    <w:name w:val="Body Text Char"/>
    <w:basedOn w:val="DefaultParagraphFont"/>
    <w:link w:val="BodyText"/>
    <w:rsid w:val="001D5F06"/>
    <w:rPr>
      <w:rFonts w:ascii="Univers (WN)" w:hAnsi="Univers (WN)" w:eastAsia="Times New Roman" w:cs="Times New Roman"/>
      <w:kern w:val="0"/>
      <w:sz w:val="24"/>
      <w:szCs w:val="20"/>
      <w14:ligatures w14:val="none"/>
    </w:rPr>
  </w:style>
  <w:style w:type="paragraph" w:styleId="BodyTextIndent">
    <w:name w:val="Body Text Indent"/>
    <w:basedOn w:val="Normal"/>
    <w:link w:val="BodyTextIndentChar"/>
    <w:unhideWhenUsed/>
    <w:rsid w:val="001D5F06"/>
    <w:pPr>
      <w:widowControl/>
      <w:ind w:left="1296" w:hanging="432"/>
      <w:jc w:val="both"/>
    </w:pPr>
    <w:rPr>
      <w:rFonts w:ascii="Univers (WN)" w:hAnsi="Univers (WN)"/>
      <w:snapToGrid/>
      <w14:ligatures w14:val="none"/>
    </w:rPr>
  </w:style>
  <w:style w:type="character" w:styleId="BodyTextIndentChar" w:customStyle="1">
    <w:name w:val="Body Text Indent Char"/>
    <w:basedOn w:val="DefaultParagraphFont"/>
    <w:link w:val="BodyTextIndent"/>
    <w:rsid w:val="001D5F06"/>
    <w:rPr>
      <w:rFonts w:ascii="Univers (WN)" w:hAnsi="Univers (WN)" w:eastAsia="Times New Roman" w:cs="Times New Roman"/>
      <w:kern w:val="0"/>
      <w:sz w:val="24"/>
      <w:szCs w:val="20"/>
      <w14:ligatures w14:val="none"/>
    </w:rPr>
  </w:style>
  <w:style w:type="paragraph" w:styleId="BodyText2">
    <w:name w:val="Body Text 2"/>
    <w:basedOn w:val="Normal"/>
    <w:link w:val="BodyText2Char"/>
    <w:unhideWhenUsed/>
    <w:rsid w:val="001D5F06"/>
    <w:pPr>
      <w:widowControl/>
      <w:jc w:val="both"/>
    </w:pPr>
    <w:rPr>
      <w:rFonts w:ascii="Univers (WN)" w:hAnsi="Univers (WN)"/>
      <w:i/>
      <w:snapToGrid/>
      <w14:ligatures w14:val="none"/>
    </w:rPr>
  </w:style>
  <w:style w:type="character" w:styleId="BodyText2Char" w:customStyle="1">
    <w:name w:val="Body Text 2 Char"/>
    <w:basedOn w:val="DefaultParagraphFont"/>
    <w:link w:val="BodyText2"/>
    <w:rsid w:val="001D5F06"/>
    <w:rPr>
      <w:rFonts w:ascii="Univers (WN)" w:hAnsi="Univers (WN)" w:eastAsia="Times New Roman" w:cs="Times New Roman"/>
      <w:i/>
      <w:kern w:val="0"/>
      <w:sz w:val="24"/>
      <w:szCs w:val="20"/>
      <w14:ligatures w14:val="none"/>
    </w:rPr>
  </w:style>
  <w:style w:type="paragraph" w:styleId="BodyTextIndent2">
    <w:name w:val="Body Text Indent 2"/>
    <w:basedOn w:val="Normal"/>
    <w:link w:val="BodyTextIndent2Char"/>
    <w:unhideWhenUsed/>
    <w:rsid w:val="001D5F06"/>
    <w:pPr>
      <w:widowControl/>
      <w:ind w:left="1824" w:hanging="1824"/>
      <w:jc w:val="both"/>
    </w:pPr>
    <w:rPr>
      <w:rFonts w:ascii="Univers (WN)" w:hAnsi="Univers (WN)"/>
      <w:snapToGrid/>
      <w14:ligatures w14:val="none"/>
    </w:rPr>
  </w:style>
  <w:style w:type="character" w:styleId="BodyTextIndent2Char" w:customStyle="1">
    <w:name w:val="Body Text Indent 2 Char"/>
    <w:basedOn w:val="DefaultParagraphFont"/>
    <w:link w:val="BodyTextIndent2"/>
    <w:rsid w:val="001D5F06"/>
    <w:rPr>
      <w:rFonts w:ascii="Univers (WN)" w:hAnsi="Univers (WN)" w:eastAsia="Times New Roman" w:cs="Times New Roman"/>
      <w:kern w:val="0"/>
      <w:sz w:val="24"/>
      <w:szCs w:val="20"/>
      <w14:ligatures w14:val="none"/>
    </w:rPr>
  </w:style>
  <w:style w:type="paragraph" w:styleId="BodyTextIndent3">
    <w:name w:val="Body Text Indent 3"/>
    <w:basedOn w:val="Normal"/>
    <w:link w:val="BodyTextIndent3Char"/>
    <w:unhideWhenUsed/>
    <w:rsid w:val="001D5F06"/>
    <w:pPr>
      <w:widowControl/>
      <w:ind w:left="1296" w:hanging="432"/>
      <w:jc w:val="both"/>
    </w:pPr>
    <w:rPr>
      <w:rFonts w:ascii="Univers (WN)" w:hAnsi="Univers (WN)"/>
      <w:i/>
      <w:snapToGrid/>
      <w14:ligatures w14:val="none"/>
    </w:rPr>
  </w:style>
  <w:style w:type="character" w:styleId="BodyTextIndent3Char" w:customStyle="1">
    <w:name w:val="Body Text Indent 3 Char"/>
    <w:basedOn w:val="DefaultParagraphFont"/>
    <w:link w:val="BodyTextIndent3"/>
    <w:rsid w:val="001D5F06"/>
    <w:rPr>
      <w:rFonts w:ascii="Univers (WN)" w:hAnsi="Univers (WN)" w:eastAsia="Times New Roman"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534">
      <w:bodyDiv w:val="1"/>
      <w:marLeft w:val="0"/>
      <w:marRight w:val="0"/>
      <w:marTop w:val="0"/>
      <w:marBottom w:val="0"/>
      <w:divBdr>
        <w:top w:val="none" w:sz="0" w:space="0" w:color="auto"/>
        <w:left w:val="none" w:sz="0" w:space="0" w:color="auto"/>
        <w:bottom w:val="none" w:sz="0" w:space="0" w:color="auto"/>
        <w:right w:val="none" w:sz="0" w:space="0" w:color="auto"/>
      </w:divBdr>
    </w:div>
    <w:div w:id="1334913602">
      <w:bodyDiv w:val="1"/>
      <w:marLeft w:val="0"/>
      <w:marRight w:val="0"/>
      <w:marTop w:val="0"/>
      <w:marBottom w:val="0"/>
      <w:divBdr>
        <w:top w:val="none" w:sz="0" w:space="0" w:color="auto"/>
        <w:left w:val="none" w:sz="0" w:space="0" w:color="auto"/>
        <w:bottom w:val="none" w:sz="0" w:space="0" w:color="auto"/>
        <w:right w:val="none" w:sz="0" w:space="0" w:color="auto"/>
      </w:divBdr>
    </w:div>
    <w:div w:id="1450736395">
      <w:bodyDiv w:val="1"/>
      <w:marLeft w:val="0"/>
      <w:marRight w:val="0"/>
      <w:marTop w:val="0"/>
      <w:marBottom w:val="0"/>
      <w:divBdr>
        <w:top w:val="none" w:sz="0" w:space="0" w:color="auto"/>
        <w:left w:val="none" w:sz="0" w:space="0" w:color="auto"/>
        <w:bottom w:val="none" w:sz="0" w:space="0" w:color="auto"/>
        <w:right w:val="none" w:sz="0" w:space="0" w:color="auto"/>
      </w:divBdr>
    </w:div>
    <w:div w:id="1492982366">
      <w:bodyDiv w:val="1"/>
      <w:marLeft w:val="0"/>
      <w:marRight w:val="0"/>
      <w:marTop w:val="0"/>
      <w:marBottom w:val="0"/>
      <w:divBdr>
        <w:top w:val="none" w:sz="0" w:space="0" w:color="auto"/>
        <w:left w:val="none" w:sz="0" w:space="0" w:color="auto"/>
        <w:bottom w:val="none" w:sz="0" w:space="0" w:color="auto"/>
        <w:right w:val="none" w:sz="0" w:space="0" w:color="auto"/>
      </w:divBdr>
    </w:div>
    <w:div w:id="16421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60834bca734b4a94" /><Relationship Type="http://schemas.microsoft.com/office/2011/relationships/commentsExtended" Target="commentsExtended.xml" Id="Ra4ee98bfa6a64cbc" /><Relationship Type="http://schemas.microsoft.com/office/2016/09/relationships/commentsIds" Target="commentsIds.xml" Id="Rb58ffcd53ed04e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FD7CD-0D45-4BB6-BFD6-0D10924AAA26}"/>
</file>

<file path=customXml/itemProps2.xml><?xml version="1.0" encoding="utf-8"?>
<ds:datastoreItem xmlns:ds="http://schemas.openxmlformats.org/officeDocument/2006/customXml" ds:itemID="{571C5CDF-99ED-4C64-AE72-32140E8599E9}">
  <ds:schemaRefs>
    <ds:schemaRef ds:uri="http://schemas.microsoft.com/sharepoint/v3/contenttype/forms"/>
  </ds:schemaRefs>
</ds:datastoreItem>
</file>

<file path=customXml/itemProps3.xml><?xml version="1.0" encoding="utf-8"?>
<ds:datastoreItem xmlns:ds="http://schemas.openxmlformats.org/officeDocument/2006/customXml" ds:itemID="{1C1770B2-40C6-46C2-86FE-E5BB19758BC1}">
  <ds:schemaRefs>
    <ds:schemaRef ds:uri="http://purl.org/dc/terms/"/>
    <ds:schemaRef ds:uri="http://schemas.microsoft.com/office/2006/documentManagement/types"/>
    <ds:schemaRef ds:uri="http://schemas.microsoft.com/office/2006/metadata/properties"/>
    <ds:schemaRef ds:uri="http://purl.org/dc/elements/1.1/"/>
    <ds:schemaRef ds:uri="740bd92d-f8e2-4676-9dca-7b44cfe5872f"/>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12</cp:revision>
  <dcterms:created xsi:type="dcterms:W3CDTF">2025-04-05T17:38:00Z</dcterms:created>
  <dcterms:modified xsi:type="dcterms:W3CDTF">2025-07-06T19:48:26Z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2025-04-22T05:03:39Z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9ac8cf66-e456-42cb-9d06-8faace98e66f</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