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622F" w:rsidR="00E06508" w:rsidP="0064622F" w:rsidRDefault="00E06508" w14:paraId="16E7A7F1" w14:textId="77777777">
      <w:pPr>
        <w:widowControl/>
        <w:shd w:val="clear" w:color="auto" w:fill="FFFFFF"/>
        <w:snapToGrid w:val="0"/>
        <w:spacing w:line="264" w:lineRule="auto"/>
        <w:ind w:left="360"/>
        <w:jc w:val="center"/>
        <w:rPr>
          <w:rFonts w:ascii="Calibri" w:hAnsi="Calibri" w:cs="Calibri"/>
          <w:b/>
          <w:bCs/>
          <w:snapToGrid/>
          <w:color w:val="000000" w:themeColor="text1"/>
          <w:szCs w:val="24"/>
          <w14:ligatures w14:val="none"/>
        </w:rPr>
      </w:pPr>
      <w:r w:rsidRPr="0064622F">
        <w:rPr>
          <w:rFonts w:ascii="Calibri" w:hAnsi="Calibri" w:cs="Calibri"/>
          <w:b/>
          <w:bCs/>
          <w:snapToGrid/>
          <w:color w:val="000000" w:themeColor="text1"/>
          <w:szCs w:val="24"/>
          <w14:ligatures w14:val="none"/>
        </w:rPr>
        <w:t>SECTION: PAID LEAVE</w:t>
      </w:r>
    </w:p>
    <w:p w:rsidRPr="0064622F" w:rsidR="00E06508" w:rsidP="0064622F" w:rsidRDefault="00E06508" w14:paraId="50228697" w14:textId="77777777">
      <w:pPr>
        <w:widowControl/>
        <w:shd w:val="clear" w:color="auto" w:fill="FFFFFF"/>
        <w:snapToGrid w:val="0"/>
        <w:spacing w:line="264" w:lineRule="auto"/>
        <w:ind w:left="360"/>
        <w:jc w:val="center"/>
        <w:rPr>
          <w:rFonts w:ascii="Calibri" w:hAnsi="Calibri" w:cs="Calibri"/>
          <w:b/>
          <w:bCs/>
          <w:snapToGrid/>
          <w:color w:val="000000" w:themeColor="text1"/>
          <w:szCs w:val="24"/>
          <w14:ligatures w14:val="none"/>
        </w:rPr>
      </w:pPr>
    </w:p>
    <w:p w:rsidRPr="0064622F" w:rsidR="00E06508" w:rsidP="0064622F" w:rsidRDefault="00E06508" w14:paraId="579237FB" w14:textId="345F87D9">
      <w:pPr>
        <w:widowControl/>
        <w:shd w:val="clear" w:color="auto" w:fill="FFFFFF"/>
        <w:tabs>
          <w:tab w:val="left" w:pos="5040"/>
        </w:tabs>
        <w:snapToGrid w:val="0"/>
        <w:spacing w:line="264" w:lineRule="auto"/>
        <w:rPr>
          <w:rFonts w:ascii="Calibri" w:hAnsi="Calibri" w:cs="Calibri"/>
          <w:snapToGrid/>
          <w:color w:val="000000" w:themeColor="text1"/>
          <w:szCs w:val="24"/>
          <w14:ligatures w14:val="none"/>
        </w:rPr>
      </w:pPr>
      <w:r w:rsidRPr="0064622F">
        <w:rPr>
          <w:rFonts w:ascii="Calibri" w:hAnsi="Calibri" w:cs="Calibri"/>
          <w:b/>
          <w:bCs/>
          <w:snapToGrid/>
          <w:color w:val="000000" w:themeColor="text1"/>
          <w:szCs w:val="24"/>
          <w14:ligatures w14:val="none"/>
        </w:rPr>
        <w:t xml:space="preserve">POLICY: </w:t>
      </w:r>
      <w:r w:rsidRPr="0064622F">
        <w:rPr>
          <w:rFonts w:ascii="Calibri" w:hAnsi="Calibri" w:cs="Calibri"/>
          <w:snapToGrid/>
          <w:color w:val="000000" w:themeColor="text1"/>
          <w:szCs w:val="24"/>
          <w14:ligatures w14:val="none"/>
        </w:rPr>
        <w:t>Vacation</w:t>
      </w:r>
      <w:r w:rsidRPr="0064622F" w:rsidR="00F44106">
        <w:rPr>
          <w:rFonts w:ascii="Calibri" w:hAnsi="Calibri" w:cs="Calibri"/>
          <w:snapToGrid/>
          <w:color w:val="000000" w:themeColor="text1"/>
          <w:szCs w:val="24"/>
          <w14:ligatures w14:val="none"/>
        </w:rPr>
        <w:tab/>
      </w:r>
      <w:r w:rsidRPr="0064622F">
        <w:rPr>
          <w:rFonts w:ascii="Calibri" w:hAnsi="Calibri" w:cs="Calibri"/>
          <w:b/>
          <w:bCs/>
          <w:snapToGrid/>
          <w:color w:val="000000" w:themeColor="text1"/>
          <w:szCs w:val="24"/>
          <w14:ligatures w14:val="none"/>
        </w:rPr>
        <w:t xml:space="preserve">EFFECTIVE DATE: </w:t>
      </w:r>
      <w:r w:rsidRPr="0064622F" w:rsidR="00F44106">
        <w:rPr>
          <w:rFonts w:ascii="Calibri" w:hAnsi="Calibri" w:cs="Calibri"/>
          <w:snapToGrid/>
          <w:color w:val="000000" w:themeColor="text1"/>
          <w:szCs w:val="24"/>
          <w14:ligatures w14:val="none"/>
        </w:rPr>
        <w:t xml:space="preserve">insert </w:t>
      </w:r>
      <w:r w:rsidRPr="0064622F">
        <w:rPr>
          <w:rFonts w:ascii="Calibri" w:hAnsi="Calibri" w:cs="Calibri"/>
          <w:snapToGrid/>
          <w:color w:val="000000" w:themeColor="text1"/>
          <w:szCs w:val="24"/>
          <w14:ligatures w14:val="none"/>
        </w:rPr>
        <w:t>date adopted</w:t>
      </w:r>
    </w:p>
    <w:p w:rsidRPr="0064622F" w:rsidR="00E06508" w:rsidP="0064622F" w:rsidRDefault="00E06508" w14:paraId="1F7A6BF5" w14:textId="1F62F8D5">
      <w:pPr>
        <w:widowControl/>
        <w:shd w:val="clear" w:color="auto" w:fill="FFFFFF"/>
        <w:snapToGrid w:val="0"/>
        <w:spacing w:line="264" w:lineRule="auto"/>
        <w:rPr>
          <w:rFonts w:ascii="Calibri" w:hAnsi="Calibri" w:cs="Calibri"/>
          <w:snapToGrid/>
          <w:color w:val="000000" w:themeColor="text1"/>
          <w:szCs w:val="24"/>
          <w14:ligatures w14:val="none"/>
        </w:rPr>
      </w:pPr>
    </w:p>
    <w:p w:rsidRPr="0064622F" w:rsidR="00E06508" w:rsidP="0064622F" w:rsidRDefault="00E06508" w14:paraId="2DDB8DC0" w14:textId="77777777">
      <w:pPr>
        <w:spacing w:line="264" w:lineRule="auto"/>
        <w:rPr>
          <w:rFonts w:ascii="Calibri" w:hAnsi="Calibri" w:cs="Calibri" w:eastAsiaTheme="minorHAnsi"/>
          <w:b/>
          <w:bCs/>
          <w:snapToGrid/>
          <w:color w:val="000000" w:themeColor="text1"/>
          <w:szCs w:val="24"/>
        </w:rPr>
      </w:pPr>
    </w:p>
    <w:p w:rsidRPr="0064622F" w:rsidR="00117C6B" w:rsidP="0064622F" w:rsidRDefault="00E06508" w14:paraId="572A2111" w14:textId="10CD44F8">
      <w:pPr>
        <w:spacing w:line="264" w:lineRule="auto"/>
        <w:rPr>
          <w:rFonts w:ascii="Calibri" w:hAnsi="Calibri" w:cs="Calibri" w:eastAsiaTheme="minorHAnsi"/>
          <w:b/>
          <w:bCs/>
          <w:snapToGrid/>
          <w:color w:val="000000" w:themeColor="text1"/>
          <w:szCs w:val="24"/>
        </w:rPr>
      </w:pPr>
      <w:r w:rsidRPr="0064622F">
        <w:rPr>
          <w:rFonts w:ascii="Calibri" w:hAnsi="Calibri" w:cs="Calibri" w:eastAsiaTheme="minorHAnsi"/>
          <w:b/>
          <w:bCs/>
          <w:snapToGrid/>
          <w:color w:val="000000" w:themeColor="text1"/>
          <w:szCs w:val="24"/>
        </w:rPr>
        <w:t>STATEMENT OF PURPOSE:</w:t>
      </w:r>
    </w:p>
    <w:p w:rsidRPr="0064622F" w:rsidR="00117C6B" w:rsidP="0064622F" w:rsidRDefault="00117C6B" w14:paraId="2E4F8CE0" w14:textId="77777777">
      <w:pPr>
        <w:spacing w:line="264" w:lineRule="auto"/>
        <w:rPr>
          <w:rFonts w:ascii="Calibri" w:hAnsi="Calibri" w:cs="Calibri" w:eastAsiaTheme="minorHAnsi"/>
          <w:snapToGrid/>
          <w:color w:val="000000" w:themeColor="text1"/>
          <w:szCs w:val="24"/>
        </w:rPr>
      </w:pPr>
    </w:p>
    <w:p w:rsidRPr="0064622F" w:rsidR="00117C6B" w:rsidP="0064622F" w:rsidRDefault="00117C6B" w14:paraId="06436677" w14:textId="77C803F9">
      <w:pPr>
        <w:spacing w:line="264" w:lineRule="auto"/>
        <w:rPr>
          <w:rFonts w:ascii="Calibri" w:hAnsi="Calibri" w:cs="Calibri" w:eastAsiaTheme="minorHAnsi"/>
          <w:snapToGrid/>
          <w:color w:val="000000" w:themeColor="text1"/>
          <w:szCs w:val="24"/>
        </w:rPr>
      </w:pPr>
      <w:r w:rsidRPr="123139BB" w:rsidR="00117C6B">
        <w:rPr>
          <w:rFonts w:ascii="Calibri" w:hAnsi="Calibri" w:eastAsia="Aptos" w:cs="Calibri" w:eastAsiaTheme="minorAscii"/>
          <w:snapToGrid/>
          <w:color w:val="000000" w:themeColor="text1"/>
        </w:rPr>
        <w:t>The purpose of this policy is to outline the guidelines for vacation leave eligibility, accrual, usage, and payout for regular full-time employees, including shift firefighters and police officers.</w:t>
      </w:r>
    </w:p>
    <w:p w:rsidR="123139BB" w:rsidP="123139BB" w:rsidRDefault="123139BB" w14:paraId="6EBBD94D" w14:textId="43E3ED83">
      <w:pPr>
        <w:spacing w:line="264" w:lineRule="auto"/>
        <w:rPr>
          <w:rFonts w:ascii="Calibri" w:hAnsi="Calibri" w:eastAsia="Aptos" w:cs="Calibri" w:eastAsiaTheme="minorAscii"/>
          <w:color w:val="000000" w:themeColor="text1" w:themeTint="FF" w:themeShade="FF"/>
        </w:rPr>
      </w:pPr>
    </w:p>
    <w:p w:rsidRPr="0064622F" w:rsidR="00117C6B" w:rsidP="123139BB" w:rsidRDefault="00E06508" w14:paraId="66F0FD46" w14:textId="3D49F09A">
      <w:pPr>
        <w:pStyle w:val="Normal"/>
        <w:spacing w:line="264" w:lineRule="auto"/>
        <w:rPr>
          <w:rFonts w:ascii="Calibri" w:hAnsi="Calibri" w:eastAsia="Aptos" w:cs="Calibri" w:eastAsiaTheme="minorAscii"/>
          <w:b w:val="1"/>
          <w:bCs w:val="1"/>
          <w:snapToGrid/>
          <w:color w:val="000000" w:themeColor="text1"/>
        </w:rPr>
      </w:pPr>
      <w:r w:rsidRPr="123139BB" w:rsidR="00E06508">
        <w:rPr>
          <w:rFonts w:ascii="Calibri" w:hAnsi="Calibri" w:eastAsia="Aptos" w:cs="Calibri" w:eastAsiaTheme="minorAscii"/>
          <w:b w:val="1"/>
          <w:bCs w:val="1"/>
          <w:snapToGrid/>
          <w:color w:val="000000" w:themeColor="text1"/>
        </w:rPr>
        <w:t>DEFINITIONS:</w:t>
      </w:r>
    </w:p>
    <w:p w:rsidRPr="0064622F" w:rsidR="00F44106" w:rsidP="0064622F" w:rsidRDefault="00F44106" w14:paraId="6F441C68" w14:textId="77777777">
      <w:pPr>
        <w:spacing w:line="264" w:lineRule="auto"/>
        <w:rPr>
          <w:rFonts w:ascii="Calibri" w:hAnsi="Calibri" w:cs="Calibri" w:eastAsiaTheme="minorHAnsi"/>
          <w:b/>
          <w:bCs/>
          <w:snapToGrid/>
          <w:color w:val="000000" w:themeColor="text1"/>
          <w:szCs w:val="24"/>
        </w:rPr>
      </w:pPr>
    </w:p>
    <w:p w:rsidRPr="0064622F" w:rsidR="00117C6B" w:rsidP="0064622F" w:rsidRDefault="00117C6B" w14:paraId="463162F6" w14:textId="77777777">
      <w:pPr>
        <w:numPr>
          <w:ilvl w:val="0"/>
          <w:numId w:val="15"/>
        </w:numPr>
        <w:spacing w:line="264" w:lineRule="auto"/>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Vacation Leave: Paid time off granted to eligible employees for rest, relaxation, or personal activities.</w:t>
      </w:r>
    </w:p>
    <w:p w:rsidRPr="0064622F" w:rsidR="00F44106" w:rsidP="0064622F" w:rsidRDefault="00F44106" w14:paraId="2E6B5366" w14:textId="77777777">
      <w:pPr>
        <w:spacing w:line="264" w:lineRule="auto"/>
        <w:ind w:left="720"/>
        <w:rPr>
          <w:rFonts w:ascii="Calibri" w:hAnsi="Calibri" w:cs="Calibri" w:eastAsiaTheme="minorHAnsi"/>
          <w:snapToGrid/>
          <w:color w:val="000000" w:themeColor="text1"/>
          <w:szCs w:val="24"/>
        </w:rPr>
      </w:pPr>
    </w:p>
    <w:p w:rsidRPr="0064622F" w:rsidR="00117C6B" w:rsidP="0064622F" w:rsidRDefault="00117C6B" w14:paraId="6FAE4CDC" w14:textId="77777777">
      <w:pPr>
        <w:numPr>
          <w:ilvl w:val="0"/>
          <w:numId w:val="15"/>
        </w:numPr>
        <w:spacing w:line="264" w:lineRule="auto"/>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Accrual: The process of earning vacation leave hours based on years of service and employment status.</w:t>
      </w:r>
    </w:p>
    <w:p w:rsidRPr="0064622F" w:rsidR="00F44106" w:rsidP="0064622F" w:rsidRDefault="00F44106" w14:paraId="5DC67676" w14:textId="77777777">
      <w:pPr>
        <w:spacing w:line="264" w:lineRule="auto"/>
        <w:ind w:left="720"/>
        <w:rPr>
          <w:rFonts w:ascii="Calibri" w:hAnsi="Calibri" w:cs="Calibri" w:eastAsiaTheme="minorHAnsi"/>
          <w:snapToGrid/>
          <w:color w:val="000000" w:themeColor="text1"/>
          <w:szCs w:val="24"/>
        </w:rPr>
      </w:pPr>
    </w:p>
    <w:p w:rsidRPr="0064622F" w:rsidR="00117C6B" w:rsidP="0064622F" w:rsidRDefault="00117C6B" w14:paraId="0CC7776E" w14:textId="77777777">
      <w:pPr>
        <w:numPr>
          <w:ilvl w:val="0"/>
          <w:numId w:val="15"/>
        </w:numPr>
        <w:spacing w:line="264" w:lineRule="auto"/>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Maximum Hours Payout: The maximum cash paid at the time of separation for unused vacation leave.</w:t>
      </w:r>
    </w:p>
    <w:p w:rsidRPr="0064622F" w:rsidR="00F44106" w:rsidP="0064622F" w:rsidRDefault="00F44106" w14:paraId="385ABA71" w14:textId="77777777">
      <w:pPr>
        <w:spacing w:line="264" w:lineRule="auto"/>
        <w:ind w:left="720"/>
        <w:rPr>
          <w:rFonts w:ascii="Calibri" w:hAnsi="Calibri" w:cs="Calibri" w:eastAsiaTheme="minorHAnsi"/>
          <w:snapToGrid/>
          <w:color w:val="000000" w:themeColor="text1"/>
          <w:szCs w:val="24"/>
        </w:rPr>
      </w:pPr>
    </w:p>
    <w:p w:rsidRPr="0064622F" w:rsidR="00117C6B" w:rsidP="0064622F" w:rsidRDefault="00117C6B" w14:paraId="5B3D72D4" w14:textId="77777777">
      <w:pPr>
        <w:numPr>
          <w:ilvl w:val="0"/>
          <w:numId w:val="15"/>
        </w:numPr>
        <w:spacing w:line="264" w:lineRule="auto"/>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Service-Connected Disability: A disability that qualifies an employee for retirement due to job-related injury or illness.</w:t>
      </w:r>
    </w:p>
    <w:p w:rsidRPr="0064622F" w:rsidR="00117C6B" w:rsidP="0064622F" w:rsidRDefault="00117C6B" w14:paraId="6267D08D" w14:textId="77777777">
      <w:pPr>
        <w:spacing w:line="264" w:lineRule="auto"/>
        <w:ind w:left="360"/>
        <w:rPr>
          <w:rFonts w:ascii="Calibri" w:hAnsi="Calibri" w:cs="Calibri" w:eastAsiaTheme="minorHAnsi"/>
          <w:snapToGrid/>
          <w:color w:val="000000" w:themeColor="text1"/>
          <w:szCs w:val="24"/>
        </w:rPr>
      </w:pPr>
    </w:p>
    <w:p w:rsidR="4DBC3E6D" w:rsidP="123139BB" w:rsidRDefault="4DBC3E6D" w14:paraId="0C81A523" w14:textId="1F9B8594">
      <w:pPr>
        <w:spacing w:line="264" w:lineRule="auto"/>
        <w:rPr>
          <w:rFonts w:ascii="Calibri" w:hAnsi="Calibri" w:eastAsia="Aptos" w:cs="Calibri" w:eastAsiaTheme="minorAscii"/>
          <w:b w:val="1"/>
          <w:bCs w:val="1"/>
          <w:color w:val="000000" w:themeColor="text1" w:themeTint="FF" w:themeShade="FF"/>
        </w:rPr>
      </w:pPr>
      <w:r w:rsidRPr="123139BB" w:rsidR="4DBC3E6D">
        <w:rPr>
          <w:rFonts w:ascii="Calibri" w:hAnsi="Calibri" w:eastAsia="Aptos" w:cs="Calibri" w:eastAsiaTheme="minorAscii"/>
          <w:b w:val="1"/>
          <w:bCs w:val="1"/>
          <w:color w:val="000000" w:themeColor="text1" w:themeTint="FF" w:themeShade="FF"/>
        </w:rPr>
        <w:t>APPLICABILITY:</w:t>
      </w:r>
    </w:p>
    <w:p w:rsidR="123139BB" w:rsidP="123139BB" w:rsidRDefault="123139BB" w14:paraId="650084CC" w14:textId="35977404">
      <w:pPr>
        <w:spacing w:line="264" w:lineRule="auto"/>
        <w:rPr>
          <w:rFonts w:ascii="Calibri" w:hAnsi="Calibri" w:eastAsia="Aptos" w:cs="Calibri" w:eastAsiaTheme="minorAscii"/>
          <w:b w:val="1"/>
          <w:bCs w:val="1"/>
          <w:color w:val="000000" w:themeColor="text1" w:themeTint="FF" w:themeShade="FF"/>
        </w:rPr>
      </w:pPr>
    </w:p>
    <w:p w:rsidR="4DBC3E6D" w:rsidP="123139BB" w:rsidRDefault="4DBC3E6D" w14:paraId="65D6114F" w14:textId="4F4D687C">
      <w:pPr>
        <w:spacing w:line="264" w:lineRule="auto"/>
        <w:rPr>
          <w:rFonts w:ascii="Calibri" w:hAnsi="Calibri" w:eastAsia="Aptos" w:cs="Calibri" w:eastAsiaTheme="minorAscii"/>
          <w:color w:val="000000" w:themeColor="text1" w:themeTint="FF" w:themeShade="FF"/>
        </w:rPr>
      </w:pPr>
      <w:r w:rsidRPr="123139BB" w:rsidR="4DBC3E6D">
        <w:rPr>
          <w:rFonts w:ascii="Calibri" w:hAnsi="Calibri" w:eastAsia="Aptos" w:cs="Calibri" w:eastAsiaTheme="minorAscii"/>
          <w:color w:val="000000" w:themeColor="text1" w:themeTint="FF" w:themeShade="FF"/>
        </w:rPr>
        <w:t>This policy applies to all regular full-time employees, including Civil Service police officers and shift firefighters, but excludes part-time employees and those not covered under this policy.</w:t>
      </w:r>
    </w:p>
    <w:p w:rsidR="123139BB" w:rsidP="123139BB" w:rsidRDefault="123139BB" w14:paraId="41645BA5" w14:textId="5BAC0867">
      <w:pPr>
        <w:spacing w:line="264" w:lineRule="auto"/>
        <w:rPr>
          <w:rFonts w:ascii="Calibri" w:hAnsi="Calibri" w:eastAsia="Aptos" w:cs="Calibri" w:eastAsiaTheme="minorAscii"/>
          <w:b w:val="1"/>
          <w:bCs w:val="1"/>
          <w:color w:val="000000" w:themeColor="text1" w:themeTint="FF" w:themeShade="FF"/>
        </w:rPr>
      </w:pPr>
    </w:p>
    <w:p w:rsidRPr="0064622F" w:rsidR="00117C6B" w:rsidP="0064622F" w:rsidRDefault="00E06508" w14:paraId="053AE680" w14:textId="01E2DAB9">
      <w:pPr>
        <w:spacing w:line="264" w:lineRule="auto"/>
        <w:rPr>
          <w:rFonts w:ascii="Calibri" w:hAnsi="Calibri" w:cs="Calibri" w:eastAsiaTheme="minorHAnsi"/>
          <w:b/>
          <w:bCs/>
          <w:snapToGrid/>
          <w:color w:val="000000" w:themeColor="text1"/>
          <w:szCs w:val="24"/>
        </w:rPr>
      </w:pPr>
      <w:r w:rsidRPr="0064622F">
        <w:rPr>
          <w:rFonts w:ascii="Calibri" w:hAnsi="Calibri" w:cs="Calibri" w:eastAsiaTheme="minorHAnsi"/>
          <w:b/>
          <w:bCs/>
          <w:snapToGrid/>
          <w:color w:val="000000" w:themeColor="text1"/>
          <w:szCs w:val="24"/>
        </w:rPr>
        <w:t>PROCEDURES:</w:t>
      </w:r>
    </w:p>
    <w:p w:rsidRPr="0064622F" w:rsidR="00F44106" w:rsidP="0064622F" w:rsidRDefault="00F44106" w14:paraId="3CFBC7FE" w14:textId="77777777">
      <w:pPr>
        <w:spacing w:line="264" w:lineRule="auto"/>
        <w:rPr>
          <w:rFonts w:ascii="Calibri" w:hAnsi="Calibri" w:cs="Calibri" w:eastAsiaTheme="minorHAnsi"/>
          <w:b/>
          <w:bCs/>
          <w:snapToGrid/>
          <w:color w:val="000000" w:themeColor="text1"/>
          <w:szCs w:val="24"/>
        </w:rPr>
      </w:pPr>
    </w:p>
    <w:p w:rsidRPr="0064622F" w:rsidR="00117C6B" w:rsidP="0064622F" w:rsidRDefault="00117C6B" w14:paraId="3FA97D77" w14:textId="77777777">
      <w:pPr>
        <w:pStyle w:val="ListParagraph"/>
        <w:numPr>
          <w:ilvl w:val="0"/>
          <w:numId w:val="16"/>
        </w:numPr>
        <w:spacing w:line="264" w:lineRule="auto"/>
        <w:contextualSpacing w:val="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Eligibility and Accrual</w:t>
      </w:r>
    </w:p>
    <w:p w:rsidRPr="0064622F" w:rsidR="00117C6B" w:rsidP="0064622F" w:rsidRDefault="00117C6B" w14:paraId="643F0436" w14:textId="77777777">
      <w:pPr>
        <w:numPr>
          <w:ilvl w:val="0"/>
          <w:numId w:val="17"/>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Regular full-time employees who complete six months of continuous service are eligible for paid vacation leave.</w:t>
      </w:r>
    </w:p>
    <w:p w:rsidRPr="0064622F" w:rsidR="00117C6B" w:rsidP="0064622F" w:rsidRDefault="00117C6B" w14:paraId="60917E7B" w14:textId="77777777">
      <w:pPr>
        <w:numPr>
          <w:ilvl w:val="0"/>
          <w:numId w:val="17"/>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Accruals are awarded at the end of each month of completed service.</w:t>
      </w:r>
    </w:p>
    <w:p w:rsidRPr="0064622F" w:rsidR="00117C6B" w:rsidP="0064622F" w:rsidRDefault="00117C6B" w14:paraId="48AE1FFB" w14:textId="77777777">
      <w:pPr>
        <w:numPr>
          <w:ilvl w:val="0"/>
          <w:numId w:val="17"/>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New employees who begin work before the 15th of the month will receive full accrual for that month. Employees starting between the 16th and the end of the month will receive half accrual.</w:t>
      </w:r>
    </w:p>
    <w:p w:rsidRPr="0064622F" w:rsidR="00F44106" w:rsidP="0064622F" w:rsidRDefault="00F44106" w14:paraId="487344DF" w14:textId="77777777">
      <w:pPr>
        <w:spacing w:line="264" w:lineRule="auto"/>
        <w:ind w:left="1080"/>
        <w:rPr>
          <w:rFonts w:ascii="Calibri" w:hAnsi="Calibri" w:cs="Calibri" w:eastAsiaTheme="minorHAnsi"/>
          <w:snapToGrid/>
          <w:color w:val="000000" w:themeColor="text1"/>
          <w:szCs w:val="24"/>
        </w:rPr>
      </w:pPr>
    </w:p>
    <w:p w:rsidRPr="0064622F" w:rsidR="00117C6B" w:rsidP="0064622F" w:rsidRDefault="00117C6B" w14:paraId="5B0DBE38" w14:textId="77777777">
      <w:pPr>
        <w:pStyle w:val="ListParagraph"/>
        <w:numPr>
          <w:ilvl w:val="0"/>
          <w:numId w:val="16"/>
        </w:numPr>
        <w:spacing w:line="264" w:lineRule="auto"/>
        <w:contextualSpacing w:val="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Accrual Rates</w:t>
      </w:r>
    </w:p>
    <w:p w:rsidRPr="0064622F" w:rsidR="00117C6B" w:rsidP="0064622F" w:rsidRDefault="00117C6B" w14:paraId="3947429C" w14:textId="0FA458CD">
      <w:pPr>
        <w:numPr>
          <w:ilvl w:val="0"/>
          <w:numId w:val="18"/>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Regular Full-Time Employees</w:t>
      </w:r>
      <w:r w:rsidRPr="0064622F" w:rsidR="00E06508">
        <w:rPr>
          <w:rFonts w:ascii="Calibri" w:hAnsi="Calibri" w:cs="Calibri" w:eastAsiaTheme="minorHAnsi"/>
          <w:snapToGrid/>
          <w:color w:val="000000" w:themeColor="text1"/>
          <w:szCs w:val="24"/>
        </w:rPr>
        <w:t>: Accrual</w:t>
      </w:r>
      <w:r w:rsidRPr="0064622F">
        <w:rPr>
          <w:rFonts w:ascii="Calibri" w:hAnsi="Calibri" w:cs="Calibri" w:eastAsiaTheme="minorHAnsi"/>
          <w:snapToGrid/>
          <w:color w:val="000000" w:themeColor="text1"/>
          <w:szCs w:val="24"/>
        </w:rPr>
        <w:t xml:space="preserve"> rates and maximum payouts vary based on </w:t>
      </w:r>
      <w:r w:rsidRPr="0064622F">
        <w:rPr>
          <w:rFonts w:ascii="Calibri" w:hAnsi="Calibri" w:cs="Calibri" w:eastAsiaTheme="minorHAnsi"/>
          <w:snapToGrid/>
          <w:color w:val="000000" w:themeColor="text1"/>
          <w:szCs w:val="24"/>
        </w:rPr>
        <w:lastRenderedPageBreak/>
        <w:t>years of continuous, active full-time service.</w:t>
      </w:r>
    </w:p>
    <w:p w:rsidRPr="0064622F" w:rsidR="00117C6B" w:rsidP="0064622F" w:rsidRDefault="00117C6B" w14:paraId="60A465B1" w14:textId="703FA494">
      <w:pPr>
        <w:numPr>
          <w:ilvl w:val="0"/>
          <w:numId w:val="18"/>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Civil Service Firefighters</w:t>
      </w:r>
      <w:r w:rsidRPr="0064622F" w:rsidR="00E06508">
        <w:rPr>
          <w:rFonts w:ascii="Calibri" w:hAnsi="Calibri" w:cs="Calibri" w:eastAsiaTheme="minorHAnsi"/>
          <w:snapToGrid/>
          <w:color w:val="000000" w:themeColor="text1"/>
          <w:szCs w:val="24"/>
        </w:rPr>
        <w:t>: Accrual</w:t>
      </w:r>
      <w:r w:rsidRPr="0064622F">
        <w:rPr>
          <w:rFonts w:ascii="Calibri" w:hAnsi="Calibri" w:cs="Calibri" w:eastAsiaTheme="minorHAnsi"/>
          <w:snapToGrid/>
          <w:color w:val="000000" w:themeColor="text1"/>
          <w:szCs w:val="24"/>
        </w:rPr>
        <w:t xml:space="preserve"> and payout rates vary based on Section 143 requirements.</w:t>
      </w:r>
    </w:p>
    <w:p w:rsidRPr="0064622F" w:rsidR="00117C6B" w:rsidP="0064622F" w:rsidRDefault="00117C6B" w14:paraId="2D9510A3" w14:textId="77777777">
      <w:pPr>
        <w:numPr>
          <w:ilvl w:val="0"/>
          <w:numId w:val="18"/>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Civil Service Police Officers: Accrual and payout rates vary based on Section 143 requirements.</w:t>
      </w:r>
    </w:p>
    <w:p w:rsidRPr="0064622F" w:rsidR="0064622F" w:rsidP="0064622F" w:rsidRDefault="0064622F" w14:paraId="293F5FCB" w14:textId="77777777">
      <w:pPr>
        <w:spacing w:line="264" w:lineRule="auto"/>
        <w:rPr>
          <w:rFonts w:ascii="Calibri" w:hAnsi="Calibri" w:cs="Calibri" w:eastAsiaTheme="minorHAnsi"/>
          <w:snapToGrid/>
          <w:color w:val="000000" w:themeColor="text1"/>
          <w:szCs w:val="24"/>
        </w:rPr>
      </w:pPr>
    </w:p>
    <w:p w:rsidRPr="0064622F" w:rsidR="00117C6B" w:rsidP="0064622F" w:rsidRDefault="00117C6B" w14:paraId="4350B443" w14:textId="4AABF855">
      <w:pPr>
        <w:numPr>
          <w:ilvl w:val="0"/>
          <w:numId w:val="16"/>
        </w:numPr>
        <w:spacing w:line="264" w:lineRule="auto"/>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Use of Vacation Leave</w:t>
      </w:r>
    </w:p>
    <w:p w:rsidRPr="0064622F" w:rsidR="00117C6B" w:rsidP="0064622F" w:rsidRDefault="00117C6B" w14:paraId="0A203753" w14:textId="77777777">
      <w:pPr>
        <w:numPr>
          <w:ilvl w:val="0"/>
          <w:numId w:val="19"/>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Vacation leave must be taken in a minimum of 30-minute increments.</w:t>
      </w:r>
    </w:p>
    <w:p w:rsidRPr="0064622F" w:rsidR="00117C6B" w:rsidP="0064622F" w:rsidRDefault="00117C6B" w14:paraId="10F71B7C" w14:textId="77777777">
      <w:pPr>
        <w:numPr>
          <w:ilvl w:val="0"/>
          <w:numId w:val="19"/>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 xml:space="preserve">Employees must </w:t>
      </w:r>
      <w:proofErr w:type="gramStart"/>
      <w:r w:rsidRPr="0064622F">
        <w:rPr>
          <w:rFonts w:ascii="Calibri" w:hAnsi="Calibri" w:cs="Calibri" w:eastAsiaTheme="minorHAnsi"/>
          <w:snapToGrid/>
          <w:color w:val="000000" w:themeColor="text1"/>
          <w:szCs w:val="24"/>
        </w:rPr>
        <w:t>request vacation</w:t>
      </w:r>
      <w:proofErr w:type="gramEnd"/>
      <w:r w:rsidRPr="0064622F">
        <w:rPr>
          <w:rFonts w:ascii="Calibri" w:hAnsi="Calibri" w:cs="Calibri" w:eastAsiaTheme="minorHAnsi"/>
          <w:snapToGrid/>
          <w:color w:val="000000" w:themeColor="text1"/>
          <w:szCs w:val="24"/>
        </w:rPr>
        <w:t xml:space="preserve"> leave in advance, unless it is due to an unforeseen emergency. The department will determine if the leave may be granted.</w:t>
      </w:r>
    </w:p>
    <w:p w:rsidRPr="0064622F" w:rsidR="00117C6B" w:rsidP="0064622F" w:rsidRDefault="00117C6B" w14:paraId="72E61D97" w14:textId="77777777">
      <w:pPr>
        <w:numPr>
          <w:ilvl w:val="0"/>
          <w:numId w:val="19"/>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Vacation leave should be scheduled considering service requirements and department needs.</w:t>
      </w:r>
    </w:p>
    <w:p w:rsidRPr="0064622F" w:rsidR="00117C6B" w:rsidP="6BC684ED" w:rsidRDefault="00117C6B" w14:paraId="7B1C744D" w14:textId="77777777">
      <w:pPr>
        <w:numPr>
          <w:ilvl w:val="0"/>
          <w:numId w:val="19"/>
        </w:numPr>
        <w:spacing w:line="264" w:lineRule="auto"/>
        <w:ind w:left="1440"/>
        <w:rPr>
          <w:rFonts w:ascii="Calibri" w:hAnsi="Calibri" w:eastAsia="Aptos" w:cs="Calibri" w:eastAsiaTheme="minorAscii"/>
          <w:snapToGrid/>
          <w:color w:val="000000" w:themeColor="text1"/>
        </w:rPr>
      </w:pPr>
      <w:r w:rsidRPr="6BC684ED" w:rsidR="00117C6B">
        <w:rPr>
          <w:rFonts w:ascii="Calibri" w:hAnsi="Calibri" w:eastAsia="Aptos" w:cs="Calibri" w:eastAsiaTheme="minorAscii"/>
          <w:snapToGrid/>
          <w:color w:val="000000" w:themeColor="text1"/>
        </w:rPr>
        <w:t xml:space="preserve">Vacation leave beyond </w:t>
      </w:r>
      <w:r w:rsidRPr="6BC684ED" w:rsidR="00117C6B">
        <w:rPr>
          <w:rFonts w:ascii="Calibri" w:hAnsi="Calibri" w:eastAsia="Aptos" w:cs="Calibri" w:eastAsiaTheme="minorAscii"/>
          <w:snapToGrid/>
          <w:color w:val="000000" w:themeColor="text1"/>
        </w:rPr>
        <w:t>2</w:t>
      </w:r>
      <w:r w:rsidRPr="6BC684ED" w:rsidR="00117C6B">
        <w:rPr>
          <w:rFonts w:ascii="Calibri" w:hAnsi="Calibri" w:eastAsia="Aptos" w:cs="Calibri" w:eastAsiaTheme="minorAscii"/>
          <w:snapToGrid/>
          <w:color w:val="000000" w:themeColor="text1"/>
        </w:rPr>
        <w:t xml:space="preserve"> weeks</w:t>
      </w:r>
      <w:r w:rsidRPr="6BC684ED" w:rsidR="00117C6B">
        <w:rPr>
          <w:rFonts w:ascii="Calibri" w:hAnsi="Calibri" w:eastAsia="Aptos" w:cs="Calibri" w:eastAsiaTheme="minorAscii"/>
          <w:snapToGrid/>
          <w:color w:val="000000" w:themeColor="text1"/>
        </w:rPr>
        <w:t xml:space="preserve"> for any reason requires department and City Manager approval.</w:t>
      </w:r>
    </w:p>
    <w:p w:rsidRPr="0064622F" w:rsidR="00117C6B" w:rsidP="0064622F" w:rsidRDefault="00117C6B" w14:paraId="0DA6A184" w14:textId="77777777">
      <w:pPr>
        <w:numPr>
          <w:ilvl w:val="0"/>
          <w:numId w:val="19"/>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Vacation leave does not accrue during any month in which the employee is in a non-pay status for more than half of the standard paid days.</w:t>
      </w:r>
    </w:p>
    <w:p w:rsidRPr="0064622F" w:rsidR="00117C6B" w:rsidP="0064622F" w:rsidRDefault="00117C6B" w14:paraId="4C8F076A" w14:textId="77777777">
      <w:pPr>
        <w:numPr>
          <w:ilvl w:val="0"/>
          <w:numId w:val="19"/>
        </w:numPr>
        <w:spacing w:line="264" w:lineRule="auto"/>
        <w:ind w:left="144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Vacation leave is not permitted during disciplinary suspensions.</w:t>
      </w:r>
    </w:p>
    <w:p w:rsidRPr="0064622F" w:rsidR="0064622F" w:rsidP="0064622F" w:rsidRDefault="0064622F" w14:paraId="710F8A68" w14:textId="77777777">
      <w:pPr>
        <w:spacing w:line="264" w:lineRule="auto"/>
        <w:rPr>
          <w:rFonts w:ascii="Calibri" w:hAnsi="Calibri" w:cs="Calibri" w:eastAsiaTheme="minorHAnsi"/>
          <w:snapToGrid/>
          <w:color w:val="000000" w:themeColor="text1"/>
          <w:szCs w:val="24"/>
        </w:rPr>
      </w:pPr>
    </w:p>
    <w:p w:rsidRPr="0064622F" w:rsidR="00117C6B" w:rsidP="0064622F" w:rsidRDefault="00117C6B" w14:paraId="261C4BC5" w14:textId="77777777">
      <w:pPr>
        <w:pStyle w:val="ListParagraph"/>
        <w:numPr>
          <w:ilvl w:val="0"/>
          <w:numId w:val="16"/>
        </w:numPr>
        <w:spacing w:line="264" w:lineRule="auto"/>
        <w:contextualSpacing w:val="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Payout and Separation</w:t>
      </w:r>
    </w:p>
    <w:p w:rsidRPr="0064622F" w:rsidR="00117C6B" w:rsidP="0064622F" w:rsidRDefault="00117C6B" w14:paraId="26938B60" w14:textId="77777777">
      <w:pPr>
        <w:numPr>
          <w:ilvl w:val="0"/>
          <w:numId w:val="20"/>
        </w:numPr>
        <w:spacing w:line="264" w:lineRule="auto"/>
        <w:ind w:left="1440" w:hanging="27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Payment of unused vacation time for eligible employees is calculated based on the base rate of pay at the time of separation.</w:t>
      </w:r>
    </w:p>
    <w:p w:rsidRPr="0064622F" w:rsidR="00117C6B" w:rsidP="0064622F" w:rsidRDefault="00117C6B" w14:paraId="0556AE4E" w14:textId="77777777">
      <w:pPr>
        <w:numPr>
          <w:ilvl w:val="0"/>
          <w:numId w:val="20"/>
        </w:numPr>
        <w:spacing w:line="264" w:lineRule="auto"/>
        <w:ind w:left="1440" w:hanging="27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Employees retiring due to a service-connected disability will receive all accrued vacation hours.</w:t>
      </w:r>
    </w:p>
    <w:p w:rsidRPr="0064622F" w:rsidR="00117C6B" w:rsidP="0064622F" w:rsidRDefault="00117C6B" w14:paraId="6969A44D" w14:textId="77777777">
      <w:pPr>
        <w:numPr>
          <w:ilvl w:val="0"/>
          <w:numId w:val="20"/>
        </w:numPr>
        <w:spacing w:line="264" w:lineRule="auto"/>
        <w:ind w:left="1440" w:hanging="27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Vacation leave balances are paid out for employees separating after one year of full-time employment.</w:t>
      </w:r>
    </w:p>
    <w:p w:rsidRPr="0064622F" w:rsidR="00117C6B" w:rsidP="0064622F" w:rsidRDefault="00117C6B" w14:paraId="14D10022" w14:textId="77777777">
      <w:pPr>
        <w:numPr>
          <w:ilvl w:val="0"/>
          <w:numId w:val="20"/>
        </w:numPr>
        <w:spacing w:line="264" w:lineRule="auto"/>
        <w:ind w:left="1440" w:hanging="27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Vacation or compensatory time cannot be scheduled after a notice of separation unless approved by the City Manager.</w:t>
      </w:r>
    </w:p>
    <w:p w:rsidRPr="0064622F" w:rsidR="0064622F" w:rsidP="0064622F" w:rsidRDefault="0064622F" w14:paraId="0F660CB8" w14:textId="77777777">
      <w:pPr>
        <w:spacing w:line="264" w:lineRule="auto"/>
        <w:rPr>
          <w:rFonts w:ascii="Calibri" w:hAnsi="Calibri" w:cs="Calibri" w:eastAsiaTheme="minorHAnsi"/>
          <w:snapToGrid/>
          <w:color w:val="000000" w:themeColor="text1"/>
          <w:szCs w:val="24"/>
        </w:rPr>
      </w:pPr>
    </w:p>
    <w:p w:rsidRPr="0064622F" w:rsidR="00117C6B" w:rsidP="0064622F" w:rsidRDefault="00117C6B" w14:paraId="30FEC9E1" w14:textId="77777777">
      <w:pPr>
        <w:pStyle w:val="ListParagraph"/>
        <w:numPr>
          <w:ilvl w:val="0"/>
          <w:numId w:val="16"/>
        </w:numPr>
        <w:spacing w:line="264" w:lineRule="auto"/>
        <w:contextualSpacing w:val="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Part-Time to Full-Time Transition</w:t>
      </w:r>
    </w:p>
    <w:p w:rsidRPr="0064622F" w:rsidR="00117C6B" w:rsidP="0064622F" w:rsidRDefault="00117C6B" w14:paraId="3993990D" w14:textId="77777777">
      <w:pPr>
        <w:pStyle w:val="ListParagraph"/>
        <w:numPr>
          <w:ilvl w:val="0"/>
          <w:numId w:val="21"/>
        </w:numPr>
        <w:spacing w:line="264" w:lineRule="auto"/>
        <w:ind w:left="1440"/>
        <w:contextualSpacing w:val="0"/>
        <w:rPr>
          <w:rFonts w:ascii="Calibri" w:hAnsi="Calibri" w:cs="Calibri" w:eastAsiaTheme="minorHAnsi"/>
          <w:snapToGrid/>
          <w:color w:val="000000" w:themeColor="text1"/>
          <w:szCs w:val="24"/>
        </w:rPr>
      </w:pPr>
      <w:r w:rsidRPr="0064622F">
        <w:rPr>
          <w:rFonts w:ascii="Calibri" w:hAnsi="Calibri" w:cs="Calibri" w:eastAsiaTheme="minorHAnsi"/>
          <w:snapToGrid/>
          <w:color w:val="000000" w:themeColor="text1"/>
          <w:szCs w:val="24"/>
        </w:rPr>
        <w:t>Part-time employees promoted to regular full-time positions, after six months of continuous service, will immediately access vacation leave accruals, bypassing the standard waiting period.</w:t>
      </w:r>
    </w:p>
    <w:p w:rsidRPr="00117C6B" w:rsidR="0026715E" w:rsidP="00117C6B" w:rsidRDefault="0026715E" w14:paraId="7D621A3F" w14:textId="00E11D35">
      <w:pPr>
        <w:rPr>
          <w:rFonts w:ascii="Calibri" w:hAnsi="Calibri" w:cs="Calibri"/>
          <w:szCs w:val="24"/>
        </w:rPr>
      </w:pPr>
    </w:p>
    <w:sectPr w:rsidRPr="00117C6B" w:rsidR="002671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953"/>
    <w:multiLevelType w:val="multilevel"/>
    <w:tmpl w:val="09182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6855CC"/>
    <w:multiLevelType w:val="multilevel"/>
    <w:tmpl w:val="91EA5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C0F41C7"/>
    <w:multiLevelType w:val="multilevel"/>
    <w:tmpl w:val="8362B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0B77072"/>
    <w:multiLevelType w:val="hybridMultilevel"/>
    <w:tmpl w:val="2FE48A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A38FE"/>
    <w:multiLevelType w:val="hybridMultilevel"/>
    <w:tmpl w:val="4F82BD84"/>
    <w:lvl w:ilvl="0" w:tplc="AAC032CC">
      <w:start w:val="6"/>
      <w:numFmt w:val="upperLetter"/>
      <w:lvlText w:val="%1."/>
      <w:lvlJc w:val="left"/>
      <w:pPr>
        <w:tabs>
          <w:tab w:val="num" w:pos="972"/>
        </w:tabs>
        <w:ind w:left="97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83060"/>
    <w:multiLevelType w:val="hybridMultilevel"/>
    <w:tmpl w:val="08BC797A"/>
    <w:lvl w:ilvl="0" w:tplc="5DA4D9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1549A"/>
    <w:multiLevelType w:val="hybridMultilevel"/>
    <w:tmpl w:val="687821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E13621"/>
    <w:multiLevelType w:val="hybridMultilevel"/>
    <w:tmpl w:val="7EE8EE92"/>
    <w:lvl w:ilvl="0" w:tplc="89F4C2FA">
      <w:start w:val="2"/>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444A2"/>
    <w:multiLevelType w:val="hybridMultilevel"/>
    <w:tmpl w:val="904296EC"/>
    <w:lvl w:ilvl="0" w:tplc="EC5C10F8">
      <w:start w:val="3"/>
      <w:numFmt w:val="decimal"/>
      <w:lvlText w:val="%1."/>
      <w:lvlJc w:val="left"/>
      <w:pPr>
        <w:tabs>
          <w:tab w:val="num" w:pos="864"/>
        </w:tabs>
        <w:ind w:left="864"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25A6C"/>
    <w:multiLevelType w:val="hybridMultilevel"/>
    <w:tmpl w:val="A5FC50F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596217"/>
    <w:multiLevelType w:val="hybridMultilevel"/>
    <w:tmpl w:val="CFF2248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9BB5C2E"/>
    <w:multiLevelType w:val="hybridMultilevel"/>
    <w:tmpl w:val="A27C19CC"/>
    <w:lvl w:ilvl="0" w:tplc="E0E44D92">
      <w:start w:val="1"/>
      <w:numFmt w:val="upperRoman"/>
      <w:lvlText w:val="%1."/>
      <w:lvlJc w:val="left"/>
      <w:pPr>
        <w:tabs>
          <w:tab w:val="num" w:pos="720"/>
        </w:tabs>
        <w:ind w:left="435" w:hanging="435"/>
      </w:pPr>
      <w:rPr>
        <w:rFonts w:hint="default" w:ascii="Arial" w:hAnsi="Arial"/>
        <w:b w:val="0"/>
        <w:i w:val="0"/>
        <w:color w:val="000000"/>
        <w:sz w:val="24"/>
      </w:rPr>
    </w:lvl>
    <w:lvl w:ilvl="1" w:tplc="0409000F">
      <w:start w:val="1"/>
      <w:numFmt w:val="decimal"/>
      <w:lvlText w:val="%2."/>
      <w:lvlJc w:val="left"/>
      <w:pPr>
        <w:tabs>
          <w:tab w:val="num" w:pos="864"/>
        </w:tabs>
        <w:ind w:left="864" w:hanging="432"/>
      </w:pPr>
      <w:rPr>
        <w:rFonts w:hint="default"/>
        <w:b w:val="0"/>
        <w:i w:val="0"/>
        <w:sz w:val="24"/>
      </w:rPr>
    </w:lvl>
    <w:lvl w:ilvl="2" w:tplc="04090019">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B3C12D3"/>
    <w:multiLevelType w:val="hybridMultilevel"/>
    <w:tmpl w:val="9F260152"/>
    <w:lvl w:ilvl="0" w:tplc="04090015">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E4E5BC1"/>
    <w:multiLevelType w:val="hybridMultilevel"/>
    <w:tmpl w:val="2F86862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8978F6"/>
    <w:multiLevelType w:val="multilevel"/>
    <w:tmpl w:val="960E00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00229A8"/>
    <w:multiLevelType w:val="multilevel"/>
    <w:tmpl w:val="9656F0FA"/>
    <w:lvl w:ilvl="0">
      <w:start w:val="1"/>
      <w:numFmt w:val="upp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5B723D1"/>
    <w:multiLevelType w:val="hybridMultilevel"/>
    <w:tmpl w:val="ADAA00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CC584C"/>
    <w:multiLevelType w:val="hybridMultilevel"/>
    <w:tmpl w:val="0CC4307C"/>
    <w:lvl w:ilvl="0" w:tplc="E5D25FC0">
      <w:start w:val="5"/>
      <w:numFmt w:val="upperLetter"/>
      <w:lvlText w:val="%1."/>
      <w:lvlJc w:val="left"/>
      <w:pPr>
        <w:tabs>
          <w:tab w:val="num" w:pos="792"/>
        </w:tabs>
        <w:ind w:left="792" w:hanging="432"/>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8738C"/>
    <w:multiLevelType w:val="multilevel"/>
    <w:tmpl w:val="0C28B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D662144"/>
    <w:multiLevelType w:val="multilevel"/>
    <w:tmpl w:val="BA722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A72332E"/>
    <w:multiLevelType w:val="hybridMultilevel"/>
    <w:tmpl w:val="5F861A64"/>
    <w:lvl w:ilvl="0" w:tplc="0409000F">
      <w:start w:val="2"/>
      <w:numFmt w:val="upperLetter"/>
      <w:lvlText w:val="%1."/>
      <w:lvlJc w:val="left"/>
      <w:pPr>
        <w:tabs>
          <w:tab w:val="num" w:pos="792"/>
        </w:tabs>
        <w:ind w:left="792" w:hanging="432"/>
      </w:pPr>
      <w:rPr>
        <w:rFonts w:hint="default"/>
        <w:b w:val="0"/>
        <w:i w:val="0"/>
        <w:sz w:val="24"/>
      </w:rPr>
    </w:lvl>
    <w:lvl w:ilvl="1" w:tplc="DAA6D24E" w:tentative="1">
      <w:start w:val="1"/>
      <w:numFmt w:val="lowerLetter"/>
      <w:lvlText w:val="%2."/>
      <w:lvlJc w:val="left"/>
      <w:pPr>
        <w:ind w:left="1440" w:hanging="360"/>
      </w:pPr>
    </w:lvl>
    <w:lvl w:ilvl="2" w:tplc="4B78C65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14722">
    <w:abstractNumId w:val="11"/>
  </w:num>
  <w:num w:numId="2" w16cid:durableId="2125803795">
    <w:abstractNumId w:val="7"/>
  </w:num>
  <w:num w:numId="3" w16cid:durableId="1330137875">
    <w:abstractNumId w:val="12"/>
  </w:num>
  <w:num w:numId="4" w16cid:durableId="1833789334">
    <w:abstractNumId w:val="20"/>
  </w:num>
  <w:num w:numId="5" w16cid:durableId="949432671">
    <w:abstractNumId w:val="8"/>
  </w:num>
  <w:num w:numId="6" w16cid:durableId="271516722">
    <w:abstractNumId w:val="5"/>
  </w:num>
  <w:num w:numId="7" w16cid:durableId="489908192">
    <w:abstractNumId w:val="17"/>
  </w:num>
  <w:num w:numId="8" w16cid:durableId="333797910">
    <w:abstractNumId w:val="4"/>
  </w:num>
  <w:num w:numId="9" w16cid:durableId="2108887727">
    <w:abstractNumId w:val="14"/>
  </w:num>
  <w:num w:numId="10" w16cid:durableId="1056902841">
    <w:abstractNumId w:val="18"/>
  </w:num>
  <w:num w:numId="11" w16cid:durableId="1325087223">
    <w:abstractNumId w:val="2"/>
  </w:num>
  <w:num w:numId="12" w16cid:durableId="1414207716">
    <w:abstractNumId w:val="19"/>
  </w:num>
  <w:num w:numId="13" w16cid:durableId="1779567312">
    <w:abstractNumId w:val="1"/>
  </w:num>
  <w:num w:numId="14" w16cid:durableId="42871141">
    <w:abstractNumId w:val="0"/>
  </w:num>
  <w:num w:numId="15" w16cid:durableId="1353068034">
    <w:abstractNumId w:val="15"/>
  </w:num>
  <w:num w:numId="16" w16cid:durableId="543909317">
    <w:abstractNumId w:val="3"/>
  </w:num>
  <w:num w:numId="17" w16cid:durableId="1240675446">
    <w:abstractNumId w:val="16"/>
  </w:num>
  <w:num w:numId="18" w16cid:durableId="1016228772">
    <w:abstractNumId w:val="9"/>
  </w:num>
  <w:num w:numId="19" w16cid:durableId="1456678908">
    <w:abstractNumId w:val="6"/>
  </w:num>
  <w:num w:numId="20" w16cid:durableId="1418163785">
    <w:abstractNumId w:val="13"/>
  </w:num>
  <w:num w:numId="21" w16cid:durableId="1929073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3B"/>
    <w:rsid w:val="000D21EC"/>
    <w:rsid w:val="00117C6B"/>
    <w:rsid w:val="00233F68"/>
    <w:rsid w:val="0026715E"/>
    <w:rsid w:val="00295832"/>
    <w:rsid w:val="005A673F"/>
    <w:rsid w:val="00644755"/>
    <w:rsid w:val="0064622F"/>
    <w:rsid w:val="008E315E"/>
    <w:rsid w:val="00AB5E1B"/>
    <w:rsid w:val="00B27CC7"/>
    <w:rsid w:val="00B945F2"/>
    <w:rsid w:val="00D8731F"/>
    <w:rsid w:val="00E06508"/>
    <w:rsid w:val="00E31679"/>
    <w:rsid w:val="00E4193B"/>
    <w:rsid w:val="00F44106"/>
    <w:rsid w:val="00F5306F"/>
    <w:rsid w:val="00FE2C9B"/>
    <w:rsid w:val="123139BB"/>
    <w:rsid w:val="4DBC3E6D"/>
    <w:rsid w:val="56449197"/>
    <w:rsid w:val="688389FE"/>
    <w:rsid w:val="6BC684ED"/>
    <w:rsid w:val="78FA5DD7"/>
    <w:rsid w:val="7AC8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EDA5"/>
  <w15:chartTrackingRefBased/>
  <w15:docId w15:val="{E6F01E4F-03A9-479C-8A7A-7B90AED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193B"/>
    <w:pPr>
      <w:widowControl w:val="0"/>
      <w:spacing w:after="0" w:line="240" w:lineRule="auto"/>
    </w:pPr>
    <w:rPr>
      <w:rFonts w:ascii="CG Times" w:hAnsi="CG Times" w:eastAsia="Times New Roman" w:cs="Times New Roman"/>
      <w:snapToGrid w:val="0"/>
      <w:kern w:val="0"/>
      <w:szCs w:val="20"/>
    </w:rPr>
  </w:style>
  <w:style w:type="paragraph" w:styleId="Heading1">
    <w:name w:val="heading 1"/>
    <w:basedOn w:val="Normal"/>
    <w:next w:val="Normal"/>
    <w:link w:val="Heading1Char"/>
    <w:uiPriority w:val="9"/>
    <w:qFormat/>
    <w:rsid w:val="00E4193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93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9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9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9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93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193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4193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4193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4193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4193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4193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4193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4193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4193B"/>
    <w:rPr>
      <w:rFonts w:eastAsiaTheme="majorEastAsia" w:cstheme="majorBidi"/>
      <w:color w:val="272727" w:themeColor="text1" w:themeTint="D8"/>
    </w:rPr>
  </w:style>
  <w:style w:type="paragraph" w:styleId="Title">
    <w:name w:val="Title"/>
    <w:basedOn w:val="Normal"/>
    <w:next w:val="Normal"/>
    <w:link w:val="TitleChar"/>
    <w:uiPriority w:val="10"/>
    <w:qFormat/>
    <w:rsid w:val="00E4193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4193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4193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41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93B"/>
    <w:pPr>
      <w:spacing w:before="160"/>
      <w:jc w:val="center"/>
    </w:pPr>
    <w:rPr>
      <w:i/>
      <w:iCs/>
      <w:color w:val="404040" w:themeColor="text1" w:themeTint="BF"/>
    </w:rPr>
  </w:style>
  <w:style w:type="character" w:styleId="QuoteChar" w:customStyle="1">
    <w:name w:val="Quote Char"/>
    <w:basedOn w:val="DefaultParagraphFont"/>
    <w:link w:val="Quote"/>
    <w:uiPriority w:val="29"/>
    <w:rsid w:val="00E4193B"/>
    <w:rPr>
      <w:i/>
      <w:iCs/>
      <w:color w:val="404040" w:themeColor="text1" w:themeTint="BF"/>
    </w:rPr>
  </w:style>
  <w:style w:type="paragraph" w:styleId="ListParagraph">
    <w:name w:val="List Paragraph"/>
    <w:basedOn w:val="Normal"/>
    <w:uiPriority w:val="34"/>
    <w:qFormat/>
    <w:rsid w:val="00E4193B"/>
    <w:pPr>
      <w:ind w:left="720"/>
      <w:contextualSpacing/>
    </w:pPr>
  </w:style>
  <w:style w:type="character" w:styleId="IntenseEmphasis">
    <w:name w:val="Intense Emphasis"/>
    <w:basedOn w:val="DefaultParagraphFont"/>
    <w:uiPriority w:val="21"/>
    <w:qFormat/>
    <w:rsid w:val="00E4193B"/>
    <w:rPr>
      <w:i/>
      <w:iCs/>
      <w:color w:val="0F4761" w:themeColor="accent1" w:themeShade="BF"/>
    </w:rPr>
  </w:style>
  <w:style w:type="paragraph" w:styleId="IntenseQuote">
    <w:name w:val="Intense Quote"/>
    <w:basedOn w:val="Normal"/>
    <w:next w:val="Normal"/>
    <w:link w:val="IntenseQuoteChar"/>
    <w:uiPriority w:val="30"/>
    <w:qFormat/>
    <w:rsid w:val="00E4193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4193B"/>
    <w:rPr>
      <w:i/>
      <w:iCs/>
      <w:color w:val="0F4761" w:themeColor="accent1" w:themeShade="BF"/>
    </w:rPr>
  </w:style>
  <w:style w:type="character" w:styleId="IntenseReference">
    <w:name w:val="Intense Reference"/>
    <w:basedOn w:val="DefaultParagraphFont"/>
    <w:uiPriority w:val="32"/>
    <w:qFormat/>
    <w:rsid w:val="00E4193B"/>
    <w:rPr>
      <w:b/>
      <w:bCs/>
      <w:smallCaps/>
      <w:color w:val="0F4761" w:themeColor="accent1" w:themeShade="BF"/>
      <w:spacing w:val="5"/>
    </w:rPr>
  </w:style>
  <w:style w:type="paragraph" w:styleId="Default" w:customStyle="1">
    <w:name w:val="Default"/>
    <w:rsid w:val="00E4193B"/>
    <w:pPr>
      <w:autoSpaceDE w:val="0"/>
      <w:autoSpaceDN w:val="0"/>
      <w:adjustRightInd w:val="0"/>
      <w:spacing w:after="0" w:line="240" w:lineRule="auto"/>
    </w:pPr>
    <w:rPr>
      <w:rFonts w:ascii="Arial" w:hAnsi="Arial" w:cs="Arial"/>
      <w:color w:val="000000"/>
      <w:kern w:val="0"/>
    </w:rPr>
  </w:style>
  <w:style w:type="paragraph" w:styleId="BodyTextIndent">
    <w:name w:val="Body Text Indent"/>
    <w:basedOn w:val="Normal"/>
    <w:link w:val="BodyTextIndentChar"/>
    <w:uiPriority w:val="99"/>
    <w:unhideWhenUsed/>
    <w:rsid w:val="00E4193B"/>
    <w:pPr>
      <w:spacing w:after="120"/>
      <w:ind w:left="360"/>
    </w:pPr>
  </w:style>
  <w:style w:type="character" w:styleId="BodyTextIndentChar" w:customStyle="1">
    <w:name w:val="Body Text Indent Char"/>
    <w:basedOn w:val="DefaultParagraphFont"/>
    <w:link w:val="BodyTextIndent"/>
    <w:uiPriority w:val="99"/>
    <w:rsid w:val="00E4193B"/>
    <w:rPr>
      <w:rFonts w:ascii="CG Times" w:hAnsi="CG Times" w:eastAsia="Times New Roman" w:cs="Times New Roman"/>
      <w:snapToGrid w:val="0"/>
      <w:kern w:val="0"/>
      <w:szCs w:val="20"/>
    </w:rPr>
  </w:style>
  <w:style w:type="table" w:styleId="TableGrid">
    <w:name w:val="Table Grid"/>
    <w:basedOn w:val="TableNormal"/>
    <w:uiPriority w:val="39"/>
    <w:rsid w:val="00117C6B"/>
    <w:pPr>
      <w:spacing w:after="0" w:line="240" w:lineRule="auto"/>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234643">
      <w:bodyDiv w:val="1"/>
      <w:marLeft w:val="0"/>
      <w:marRight w:val="0"/>
      <w:marTop w:val="0"/>
      <w:marBottom w:val="0"/>
      <w:divBdr>
        <w:top w:val="none" w:sz="0" w:space="0" w:color="auto"/>
        <w:left w:val="none" w:sz="0" w:space="0" w:color="auto"/>
        <w:bottom w:val="none" w:sz="0" w:space="0" w:color="auto"/>
        <w:right w:val="none" w:sz="0" w:space="0" w:color="auto"/>
      </w:divBdr>
    </w:div>
    <w:div w:id="816609355">
      <w:bodyDiv w:val="1"/>
      <w:marLeft w:val="0"/>
      <w:marRight w:val="0"/>
      <w:marTop w:val="0"/>
      <w:marBottom w:val="0"/>
      <w:divBdr>
        <w:top w:val="none" w:sz="0" w:space="0" w:color="auto"/>
        <w:left w:val="none" w:sz="0" w:space="0" w:color="auto"/>
        <w:bottom w:val="none" w:sz="0" w:space="0" w:color="auto"/>
        <w:right w:val="none" w:sz="0" w:space="0" w:color="auto"/>
      </w:divBdr>
    </w:div>
    <w:div w:id="10307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4EF751-2815-4048-8F11-26C7F6568253}"/>
</file>

<file path=customXml/itemProps2.xml><?xml version="1.0" encoding="utf-8"?>
<ds:datastoreItem xmlns:ds="http://schemas.openxmlformats.org/officeDocument/2006/customXml" ds:itemID="{3C72BB09-4A9D-492B-BB45-70717A7F8B66}">
  <ds:schemaRefs>
    <ds:schemaRef ds:uri="http://schemas.microsoft.com/sharepoint/v3/contenttype/forms"/>
  </ds:schemaRefs>
</ds:datastoreItem>
</file>

<file path=customXml/itemProps3.xml><?xml version="1.0" encoding="utf-8"?>
<ds:datastoreItem xmlns:ds="http://schemas.openxmlformats.org/officeDocument/2006/customXml" ds:itemID="{FBDEBCE9-D436-4F8F-B347-6E7856673F53}">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740bd92d-f8e2-4676-9dca-7b44cfe587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Shields</dc:creator>
  <cp:keywords/>
  <dc:description/>
  <cp:lastModifiedBy>Patricia O'Neil</cp:lastModifiedBy>
  <cp:revision>8</cp:revision>
  <dcterms:created xsi:type="dcterms:W3CDTF">2025-04-04T17:47:00Z</dcterms:created>
  <dcterms:modified xsi:type="dcterms:W3CDTF">2025-07-03T14:41:51Z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2025-04-22T04:53:20Z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ed05a753-1d51-4503-a5ba-0867c2ec46e9</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