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29B9" w:rsidR="00E829B9" w:rsidP="00196239" w:rsidRDefault="00E829B9" w14:paraId="69EB0CE8" w14:textId="5988A1BF">
      <w:pPr>
        <w:widowControl/>
        <w:snapToGrid w:val="0"/>
        <w:spacing w:line="264" w:lineRule="auto"/>
        <w:jc w:val="center"/>
        <w:rPr>
          <w:rFonts w:ascii="Calibri" w:hAnsi="Calibri" w:eastAsia="Calibri"/>
          <w:b/>
          <w:bCs/>
          <w:snapToGrid/>
          <w:szCs w:val="24"/>
        </w:rPr>
      </w:pPr>
      <w:r w:rsidRPr="00E829B9">
        <w:rPr>
          <w:rFonts w:ascii="Calibri" w:hAnsi="Calibri" w:eastAsia="Calibri"/>
          <w:b/>
          <w:bCs/>
          <w:snapToGrid/>
          <w:szCs w:val="24"/>
        </w:rPr>
        <w:t xml:space="preserve">SECTION: </w:t>
      </w:r>
      <w:r>
        <w:rPr>
          <w:rFonts w:ascii="Calibri" w:hAnsi="Calibri" w:eastAsia="Calibri"/>
          <w:b/>
          <w:bCs/>
          <w:snapToGrid/>
          <w:szCs w:val="24"/>
        </w:rPr>
        <w:t>HEALTH AND SAFETY</w:t>
      </w:r>
    </w:p>
    <w:p w:rsidRPr="00E829B9" w:rsidR="00E829B9" w:rsidP="00196239" w:rsidRDefault="00E829B9" w14:paraId="795B1B3C" w14:textId="77777777">
      <w:pPr>
        <w:widowControl/>
        <w:snapToGrid w:val="0"/>
        <w:spacing w:line="264" w:lineRule="auto"/>
        <w:rPr>
          <w:rFonts w:ascii="Calibri" w:hAnsi="Calibri" w:eastAsia="Calibri"/>
          <w:b/>
          <w:bCs/>
          <w:snapToGrid/>
          <w:szCs w:val="24"/>
        </w:rPr>
      </w:pPr>
    </w:p>
    <w:p w:rsidRPr="00E829B9" w:rsidR="00E829B9" w:rsidP="00196239" w:rsidRDefault="00E829B9" w14:paraId="3730CFC6" w14:textId="39F328A5">
      <w:pPr>
        <w:widowControl/>
        <w:tabs>
          <w:tab w:val="left" w:pos="5040"/>
        </w:tabs>
        <w:snapToGrid w:val="0"/>
        <w:spacing w:line="264" w:lineRule="auto"/>
        <w:rPr>
          <w:rFonts w:ascii="Calibri" w:hAnsi="Calibri" w:eastAsia="Calibri"/>
          <w:snapToGrid/>
          <w:szCs w:val="24"/>
        </w:rPr>
      </w:pPr>
      <w:r w:rsidRPr="00E829B9">
        <w:rPr>
          <w:rFonts w:ascii="Calibri" w:hAnsi="Calibri" w:eastAsia="Calibri"/>
          <w:b/>
          <w:bCs/>
          <w:snapToGrid/>
          <w:szCs w:val="24"/>
        </w:rPr>
        <w:t>POLICY:</w:t>
      </w:r>
      <w:r w:rsidRPr="00E829B9">
        <w:rPr>
          <w:rFonts w:ascii="Calibri" w:hAnsi="Calibri" w:eastAsia="Calibri"/>
          <w:snapToGrid/>
          <w:szCs w:val="24"/>
        </w:rPr>
        <w:t xml:space="preserve"> </w:t>
      </w:r>
      <w:r>
        <w:rPr>
          <w:rFonts w:ascii="Calibri" w:hAnsi="Calibri" w:eastAsia="Calibri"/>
          <w:snapToGrid/>
          <w:szCs w:val="24"/>
        </w:rPr>
        <w:t>Mental Health</w:t>
      </w:r>
      <w:r w:rsidR="006D7414">
        <w:rPr>
          <w:rFonts w:ascii="Calibri" w:hAnsi="Calibri" w:eastAsia="Calibri"/>
          <w:snapToGrid/>
          <w:szCs w:val="24"/>
        </w:rPr>
        <w:tab/>
      </w:r>
      <w:r w:rsidRPr="00E829B9">
        <w:rPr>
          <w:rFonts w:ascii="Calibri" w:hAnsi="Calibri" w:eastAsia="Calibri"/>
          <w:b/>
          <w:bCs/>
          <w:snapToGrid/>
          <w:szCs w:val="24"/>
        </w:rPr>
        <w:t xml:space="preserve">EFFECTIVE DATE: </w:t>
      </w:r>
      <w:r w:rsidRPr="006D7414" w:rsidR="006D7414">
        <w:rPr>
          <w:rFonts w:ascii="Calibri" w:hAnsi="Calibri" w:eastAsia="Calibri"/>
          <w:snapToGrid/>
          <w:szCs w:val="24"/>
        </w:rPr>
        <w:t xml:space="preserve">insert </w:t>
      </w:r>
      <w:r w:rsidRPr="006D7414">
        <w:rPr>
          <w:rFonts w:ascii="Calibri" w:hAnsi="Calibri" w:eastAsia="Calibri"/>
          <w:snapToGrid/>
          <w:szCs w:val="24"/>
        </w:rPr>
        <w:t>da</w:t>
      </w:r>
      <w:r w:rsidRPr="00E829B9">
        <w:rPr>
          <w:rFonts w:ascii="Calibri" w:hAnsi="Calibri" w:eastAsia="Calibri"/>
          <w:snapToGrid/>
          <w:szCs w:val="24"/>
        </w:rPr>
        <w:t>te adopted</w:t>
      </w:r>
    </w:p>
    <w:p w:rsidR="00821083" w:rsidP="00196239" w:rsidRDefault="00821083" w14:paraId="4AA5BD81" w14:textId="77777777">
      <w:pPr>
        <w:spacing w:line="264" w:lineRule="auto"/>
        <w:rPr>
          <w:rFonts w:ascii="Calibri" w:hAnsi="Calibri" w:cs="Calibri"/>
          <w:szCs w:val="24"/>
        </w:rPr>
      </w:pPr>
    </w:p>
    <w:p w:rsidR="00821083" w:rsidP="00196239" w:rsidRDefault="00821083" w14:paraId="36C1984C" w14:textId="77777777">
      <w:pPr>
        <w:spacing w:line="264" w:lineRule="auto"/>
        <w:rPr>
          <w:rFonts w:ascii="Calibri" w:hAnsi="Calibri" w:cs="Calibri"/>
          <w:szCs w:val="24"/>
        </w:rPr>
      </w:pPr>
    </w:p>
    <w:p w:rsidRPr="00E829B9" w:rsidR="00CD3FA5" w:rsidP="00196239" w:rsidRDefault="00E829B9" w14:paraId="09D43A5B" w14:textId="5363CD23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E829B9">
        <w:rPr>
          <w:rFonts w:ascii="Calibri" w:hAnsi="Calibri" w:cs="Calibri"/>
          <w:b/>
          <w:bCs/>
          <w:szCs w:val="24"/>
        </w:rPr>
        <w:t>STATEMENT OF PURPOSE:</w:t>
      </w:r>
    </w:p>
    <w:p w:rsidRPr="00CD3FA5" w:rsidR="00EE01EE" w:rsidP="00196239" w:rsidRDefault="00EE01EE" w14:paraId="2E51B021" w14:textId="77777777">
      <w:pPr>
        <w:spacing w:line="264" w:lineRule="auto"/>
        <w:ind w:left="360"/>
        <w:rPr>
          <w:rFonts w:ascii="Calibri" w:hAnsi="Calibri" w:cs="Calibri"/>
          <w:szCs w:val="24"/>
        </w:rPr>
      </w:pPr>
    </w:p>
    <w:p w:rsidR="00CD3FA5" w:rsidP="00196239" w:rsidRDefault="00EE01EE" w14:paraId="2DCF7E0A" w14:textId="79E5A6B3">
      <w:pPr>
        <w:spacing w:line="264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purpose of this policy is to establish guidelines for mental health leave </w:t>
      </w:r>
      <w:r w:rsidRPr="00CD3FA5" w:rsidR="00CD3FA5">
        <w:rPr>
          <w:rFonts w:ascii="Calibri" w:hAnsi="Calibri" w:cs="Calibri"/>
          <w:szCs w:val="24"/>
        </w:rPr>
        <w:t>for police officers and firefighters in compliance with Texas law, providing clear guidelines for accessing paid leave following traumatic events experienced in the line of duty.</w:t>
      </w:r>
    </w:p>
    <w:p w:rsidRPr="00CD3FA5" w:rsidR="00EE01EE" w:rsidP="3446CEDD" w:rsidRDefault="00EE01EE" w14:paraId="7C6C29CC" w14:textId="77777777" w14:noSpellErr="1">
      <w:pPr>
        <w:spacing w:line="264" w:lineRule="auto"/>
        <w:rPr>
          <w:rFonts w:ascii="Calibri" w:hAnsi="Calibri" w:cs="Calibri"/>
        </w:rPr>
      </w:pPr>
    </w:p>
    <w:p w:rsidR="71DB0ADC" w:rsidP="3446CEDD" w:rsidRDefault="71DB0ADC" w14:paraId="44975915" w14:textId="0DD7A7B0">
      <w:pPr>
        <w:spacing w:line="264" w:lineRule="auto"/>
        <w:rPr>
          <w:rFonts w:ascii="Calibri" w:hAnsi="Calibri" w:cs="Calibri"/>
          <w:b w:val="1"/>
          <w:bCs w:val="1"/>
        </w:rPr>
      </w:pPr>
      <w:r w:rsidRPr="3446CEDD" w:rsidR="71DB0ADC">
        <w:rPr>
          <w:rFonts w:ascii="Calibri" w:hAnsi="Calibri" w:cs="Calibri"/>
          <w:b w:val="1"/>
          <w:bCs w:val="1"/>
        </w:rPr>
        <w:t>APPLICATION:</w:t>
      </w:r>
    </w:p>
    <w:p w:rsidR="3446CEDD" w:rsidP="3446CEDD" w:rsidRDefault="3446CEDD" w14:paraId="4F813FD1" w14:textId="26852888">
      <w:pPr>
        <w:spacing w:line="264" w:lineRule="auto"/>
        <w:rPr>
          <w:rFonts w:ascii="Calibri" w:hAnsi="Calibri" w:cs="Calibri"/>
          <w:b w:val="0"/>
          <w:bCs w:val="0"/>
        </w:rPr>
      </w:pPr>
    </w:p>
    <w:p w:rsidR="00CD3FA5" w:rsidP="00196239" w:rsidRDefault="00CD3FA5" w14:paraId="3A027C10" w14:textId="77777777">
      <w:p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This policy applies to all full-time police officers and firefighters employed by the City.</w:t>
      </w:r>
    </w:p>
    <w:p w:rsidR="00821083" w:rsidP="00196239" w:rsidRDefault="00821083" w14:paraId="0D9DE889" w14:textId="77777777">
      <w:pPr>
        <w:spacing w:line="264" w:lineRule="auto"/>
        <w:rPr>
          <w:rFonts w:ascii="Calibri" w:hAnsi="Calibri" w:cs="Calibri"/>
          <w:szCs w:val="24"/>
        </w:rPr>
      </w:pPr>
    </w:p>
    <w:p w:rsidRPr="00E829B9" w:rsidR="00CD3FA5" w:rsidP="00196239" w:rsidRDefault="00E829B9" w14:paraId="0C5E3879" w14:textId="7C3EBB21">
      <w:pPr>
        <w:spacing w:line="264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DEFINITIONS:</w:t>
      </w:r>
    </w:p>
    <w:p w:rsidRPr="00CD3FA5" w:rsidR="00EE01EE" w:rsidP="00196239" w:rsidRDefault="00EE01EE" w14:paraId="71D4E3FA" w14:textId="77777777">
      <w:pPr>
        <w:spacing w:line="264" w:lineRule="auto"/>
        <w:ind w:left="360"/>
        <w:rPr>
          <w:rFonts w:ascii="Calibri" w:hAnsi="Calibri" w:cs="Calibri"/>
          <w:szCs w:val="24"/>
        </w:rPr>
      </w:pPr>
    </w:p>
    <w:p w:rsidR="00CD3FA5" w:rsidP="00196239" w:rsidRDefault="00CD3FA5" w14:paraId="15A93873" w14:textId="22778F5E">
      <w:pPr>
        <w:numPr>
          <w:ilvl w:val="0"/>
          <w:numId w:val="59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Traumatic Event: An incident involving actual or threatened death, serious injury, or physical abuse, either experienced directly or witnessed by the employee, occurring during the performance of job duties.</w:t>
      </w:r>
      <w:r w:rsidR="00EE01EE">
        <w:rPr>
          <w:rFonts w:ascii="Calibri" w:hAnsi="Calibri" w:cs="Calibri"/>
          <w:szCs w:val="24"/>
        </w:rPr>
        <w:t xml:space="preserve"> </w:t>
      </w:r>
    </w:p>
    <w:p w:rsidR="00821083" w:rsidP="00196239" w:rsidRDefault="00821083" w14:paraId="2752A111" w14:textId="77777777">
      <w:pPr>
        <w:spacing w:line="264" w:lineRule="auto"/>
        <w:rPr>
          <w:rFonts w:ascii="Calibri" w:hAnsi="Calibri" w:cs="Calibri"/>
          <w:szCs w:val="24"/>
        </w:rPr>
      </w:pPr>
    </w:p>
    <w:p w:rsidRPr="00E829B9" w:rsidR="00CD3FA5" w:rsidP="00196239" w:rsidRDefault="00E829B9" w14:paraId="17E759FD" w14:textId="0B110753">
      <w:pPr>
        <w:spacing w:line="264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PROCEDURES:</w:t>
      </w:r>
    </w:p>
    <w:p w:rsidRPr="00CD3FA5" w:rsidR="00EE01EE" w:rsidP="00196239" w:rsidRDefault="00EE01EE" w14:paraId="61713D72" w14:textId="77777777">
      <w:pPr>
        <w:spacing w:line="264" w:lineRule="auto"/>
        <w:ind w:left="360"/>
        <w:rPr>
          <w:rFonts w:ascii="Calibri" w:hAnsi="Calibri" w:cs="Calibri"/>
          <w:szCs w:val="24"/>
        </w:rPr>
      </w:pPr>
    </w:p>
    <w:p w:rsidR="008A00A7" w:rsidP="00196239" w:rsidRDefault="00CD3FA5" w14:paraId="4E5077E5" w14:textId="77777777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Eligibility: Police officers and firefighters who experience a traumatic event while on duty are eligible for mental health leave.</w:t>
      </w:r>
      <w:r w:rsidRPr="00CD3FA5" w:rsidR="00EE01EE">
        <w:rPr>
          <w:rFonts w:ascii="Calibri" w:hAnsi="Calibri" w:cs="Calibri"/>
          <w:szCs w:val="24"/>
        </w:rPr>
        <w:t xml:space="preserve"> </w:t>
      </w:r>
    </w:p>
    <w:p w:rsidRPr="008A00A7" w:rsidR="00CD3FA5" w:rsidP="00196239" w:rsidRDefault="00CD3FA5" w14:paraId="7948E492" w14:textId="5573960E">
      <w:pPr>
        <w:numPr>
          <w:ilvl w:val="1"/>
          <w:numId w:val="61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8A00A7">
        <w:rPr>
          <w:rFonts w:ascii="Calibri" w:hAnsi="Calibri" w:cs="Calibri"/>
          <w:szCs w:val="24"/>
        </w:rPr>
        <w:t>Leave Entitlement:</w:t>
      </w:r>
    </w:p>
    <w:p w:rsidRPr="00CD3FA5" w:rsidR="00CD3FA5" w:rsidP="00196239" w:rsidRDefault="00CD3FA5" w14:paraId="7C75BA8F" w14:textId="27EB69B1">
      <w:pPr>
        <w:numPr>
          <w:ilvl w:val="1"/>
          <w:numId w:val="62"/>
        </w:numPr>
        <w:spacing w:line="264" w:lineRule="auto"/>
        <w:ind w:left="23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Eligible employees are entitled to mental health leave without a deduction in salary or other compensation.</w:t>
      </w:r>
      <w:r w:rsidRPr="00CD3FA5" w:rsidR="00EE01EE">
        <w:rPr>
          <w:rFonts w:ascii="Calibri" w:hAnsi="Calibri" w:cs="Calibri"/>
          <w:szCs w:val="24"/>
        </w:rPr>
        <w:t xml:space="preserve"> </w:t>
      </w:r>
    </w:p>
    <w:p w:rsidRPr="00CD3FA5" w:rsidR="00CD3FA5" w:rsidP="00196239" w:rsidRDefault="00CD3FA5" w14:paraId="4B82F42A" w14:textId="0D42800C">
      <w:pPr>
        <w:numPr>
          <w:ilvl w:val="1"/>
          <w:numId w:val="62"/>
        </w:numPr>
        <w:spacing w:line="264" w:lineRule="auto"/>
        <w:ind w:left="23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The specific number of leave days available will be determined by the City and communicated to all employees.</w:t>
      </w:r>
    </w:p>
    <w:p w:rsidR="00B62EED" w:rsidP="00196239" w:rsidRDefault="00B62EED" w14:paraId="288D9D54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Pr="00CD3FA5" w:rsidR="00CD3FA5" w:rsidP="00196239" w:rsidRDefault="00CD3FA5" w14:paraId="79DDBE9B" w14:textId="090F3C6B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Request Process:</w:t>
      </w:r>
    </w:p>
    <w:p w:rsidRPr="00CD3FA5" w:rsidR="00CD3FA5" w:rsidP="00196239" w:rsidRDefault="00CD3FA5" w14:paraId="4AE627DC" w14:textId="576ECFE1">
      <w:pPr>
        <w:numPr>
          <w:ilvl w:val="1"/>
          <w:numId w:val="63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Employees must submit a written request for mental health leave to their immediate supervisor</w:t>
      </w:r>
      <w:r w:rsidR="00FF7AA5">
        <w:rPr>
          <w:rFonts w:ascii="Calibri" w:hAnsi="Calibri" w:cs="Calibri"/>
          <w:szCs w:val="24"/>
        </w:rPr>
        <w:t>s</w:t>
      </w:r>
      <w:r w:rsidRPr="00CD3FA5">
        <w:rPr>
          <w:rFonts w:ascii="Calibri" w:hAnsi="Calibri" w:cs="Calibri"/>
          <w:szCs w:val="24"/>
        </w:rPr>
        <w:t xml:space="preserve"> as soon as practicable following the traumatic event.</w:t>
      </w:r>
    </w:p>
    <w:p w:rsidRPr="00CD3FA5" w:rsidR="00CD3FA5" w:rsidP="00196239" w:rsidRDefault="00CD3FA5" w14:paraId="7A93FDF5" w14:textId="1A828994">
      <w:pPr>
        <w:numPr>
          <w:ilvl w:val="1"/>
          <w:numId w:val="63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The request should include the date and description of the traumatic event.</w:t>
      </w:r>
    </w:p>
    <w:p w:rsidR="00A55C56" w:rsidP="00196239" w:rsidRDefault="00A55C56" w14:paraId="44156C9C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Pr="00CD3FA5" w:rsidR="00CD3FA5" w:rsidP="00196239" w:rsidRDefault="00CD3FA5" w14:paraId="1A829472" w14:textId="28C90D71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Approval Process:</w:t>
      </w:r>
    </w:p>
    <w:p w:rsidRPr="00CD3FA5" w:rsidR="00CD3FA5" w:rsidP="00196239" w:rsidRDefault="00CD3FA5" w14:paraId="1E859762" w14:textId="1CE4A785">
      <w:pPr>
        <w:numPr>
          <w:ilvl w:val="1"/>
          <w:numId w:val="64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Supervisors will forward the request to the Human Resources Department for review.</w:t>
      </w:r>
    </w:p>
    <w:p w:rsidRPr="00CD3FA5" w:rsidR="00CD3FA5" w:rsidP="00196239" w:rsidRDefault="00CD3FA5" w14:paraId="060D4666" w14:textId="0AFB4800">
      <w:pPr>
        <w:numPr>
          <w:ilvl w:val="1"/>
          <w:numId w:val="64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Human Resources may require verification from a licensed psychiatrist, psychologist, or mental health professional to substantiate the need for leave.</w:t>
      </w:r>
    </w:p>
    <w:p w:rsidRPr="00CD3FA5" w:rsidR="00CD3FA5" w:rsidP="00196239" w:rsidRDefault="00CD3FA5" w14:paraId="46526895" w14:textId="6505E1B1">
      <w:pPr>
        <w:numPr>
          <w:ilvl w:val="1"/>
          <w:numId w:val="64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 xml:space="preserve">Approved leave will be communicated to the employee in writing, detailing the </w:t>
      </w:r>
      <w:r w:rsidRPr="00CD3FA5">
        <w:rPr>
          <w:rFonts w:ascii="Calibri" w:hAnsi="Calibri" w:cs="Calibri"/>
          <w:szCs w:val="24"/>
        </w:rPr>
        <w:lastRenderedPageBreak/>
        <w:t>duration and any conditions.</w:t>
      </w:r>
    </w:p>
    <w:p w:rsidR="00A55C56" w:rsidP="00196239" w:rsidRDefault="00A55C56" w14:paraId="2986A749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Pr="00CD3FA5" w:rsidR="00CD3FA5" w:rsidP="00196239" w:rsidRDefault="00CD3FA5" w14:paraId="6282F870" w14:textId="436C36FF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Confidentiality:</w:t>
      </w:r>
    </w:p>
    <w:p w:rsidRPr="00CD3FA5" w:rsidR="00CD3FA5" w:rsidP="00196239" w:rsidRDefault="00CD3FA5" w14:paraId="5581D87F" w14:textId="2DB03E42">
      <w:pPr>
        <w:numPr>
          <w:ilvl w:val="1"/>
          <w:numId w:val="61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All requests and related documentation will be handled with strict confidentiality, maintained separately from the employee's personnel file, and disclosed only as permitted by law.</w:t>
      </w:r>
    </w:p>
    <w:p w:rsidR="00A55C56" w:rsidP="00196239" w:rsidRDefault="00A55C56" w14:paraId="2DF37331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Pr="00CD3FA5" w:rsidR="00CD3FA5" w:rsidP="00196239" w:rsidRDefault="00CD3FA5" w14:paraId="715B6AFB" w14:textId="6187B339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Additional Support:</w:t>
      </w:r>
    </w:p>
    <w:p w:rsidRPr="00CD3FA5" w:rsidR="00CD3FA5" w:rsidP="00196239" w:rsidRDefault="00CD3FA5" w14:paraId="5B242022" w14:textId="5D514696">
      <w:pPr>
        <w:numPr>
          <w:ilvl w:val="1"/>
          <w:numId w:val="61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The City may provide a list of available mental health services to support employees during and after the leave period.</w:t>
      </w:r>
    </w:p>
    <w:p w:rsidR="00B62EED" w:rsidP="00196239" w:rsidRDefault="00B62EED" w14:paraId="404EA223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Pr="00CD3FA5" w:rsidR="00CD3FA5" w:rsidP="00196239" w:rsidRDefault="00CD3FA5" w14:paraId="13F1A96C" w14:textId="5B9A0F6D">
      <w:pPr>
        <w:numPr>
          <w:ilvl w:val="0"/>
          <w:numId w:val="61"/>
        </w:numPr>
        <w:spacing w:line="264" w:lineRule="auto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Non-Retaliation:</w:t>
      </w:r>
    </w:p>
    <w:p w:rsidRPr="00B62EED" w:rsidR="00AC0440" w:rsidP="00196239" w:rsidRDefault="00CD3FA5" w14:paraId="210ED448" w14:textId="6F2567E2">
      <w:pPr>
        <w:numPr>
          <w:ilvl w:val="1"/>
          <w:numId w:val="61"/>
        </w:numPr>
        <w:spacing w:line="264" w:lineRule="auto"/>
        <w:ind w:left="1440"/>
        <w:rPr>
          <w:rFonts w:ascii="Calibri" w:hAnsi="Calibri" w:cs="Calibri"/>
          <w:szCs w:val="24"/>
        </w:rPr>
      </w:pPr>
      <w:r w:rsidRPr="00CD3FA5">
        <w:rPr>
          <w:rFonts w:ascii="Calibri" w:hAnsi="Calibri" w:cs="Calibri"/>
          <w:szCs w:val="24"/>
        </w:rPr>
        <w:t>Employees will not face retaliation or adverse employment actions for requesting or taking approved mental health leave.</w:t>
      </w:r>
    </w:p>
    <w:sectPr w:rsidRPr="00B62EED" w:rsidR="00AC0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BF1"/>
    <w:multiLevelType w:val="hybridMultilevel"/>
    <w:tmpl w:val="B5B8C07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475A"/>
    <w:multiLevelType w:val="hybridMultilevel"/>
    <w:tmpl w:val="321CE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75CB2"/>
    <w:multiLevelType w:val="hybridMultilevel"/>
    <w:tmpl w:val="D15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ECB"/>
    <w:multiLevelType w:val="hybridMultilevel"/>
    <w:tmpl w:val="4B940196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B7D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A7381"/>
    <w:multiLevelType w:val="multilevel"/>
    <w:tmpl w:val="C6B20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65387"/>
    <w:multiLevelType w:val="multilevel"/>
    <w:tmpl w:val="76C0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E28BF"/>
    <w:multiLevelType w:val="multilevel"/>
    <w:tmpl w:val="AA4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E767A4E"/>
    <w:multiLevelType w:val="multilevel"/>
    <w:tmpl w:val="B6D2470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73E0B"/>
    <w:multiLevelType w:val="hybridMultilevel"/>
    <w:tmpl w:val="D75C8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C55DF"/>
    <w:multiLevelType w:val="hybridMultilevel"/>
    <w:tmpl w:val="AEF451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504E7"/>
    <w:multiLevelType w:val="hybridMultilevel"/>
    <w:tmpl w:val="ECD42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643A4"/>
    <w:multiLevelType w:val="multilevel"/>
    <w:tmpl w:val="4EFA41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24412"/>
    <w:multiLevelType w:val="multilevel"/>
    <w:tmpl w:val="3314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2214C1"/>
    <w:multiLevelType w:val="multilevel"/>
    <w:tmpl w:val="AEF8F0B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07BE5"/>
    <w:multiLevelType w:val="hybridMultilevel"/>
    <w:tmpl w:val="9B3E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2E16AA"/>
    <w:multiLevelType w:val="hybridMultilevel"/>
    <w:tmpl w:val="79122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869A7"/>
    <w:multiLevelType w:val="multilevel"/>
    <w:tmpl w:val="13FE5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42381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7D7444"/>
    <w:multiLevelType w:val="multilevel"/>
    <w:tmpl w:val="609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42132E1"/>
    <w:multiLevelType w:val="multilevel"/>
    <w:tmpl w:val="3ABEDFE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6409"/>
    <w:multiLevelType w:val="multilevel"/>
    <w:tmpl w:val="D39E0A8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F8527D"/>
    <w:multiLevelType w:val="hybridMultilevel"/>
    <w:tmpl w:val="81448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A66ED1"/>
    <w:multiLevelType w:val="multilevel"/>
    <w:tmpl w:val="2166C0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207EE"/>
    <w:multiLevelType w:val="multilevel"/>
    <w:tmpl w:val="CEE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29222640"/>
    <w:multiLevelType w:val="multilevel"/>
    <w:tmpl w:val="826A8A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B3308"/>
    <w:multiLevelType w:val="hybridMultilevel"/>
    <w:tmpl w:val="03841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B12D89"/>
    <w:multiLevelType w:val="hybridMultilevel"/>
    <w:tmpl w:val="8B0CED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179D0"/>
    <w:multiLevelType w:val="multilevel"/>
    <w:tmpl w:val="D3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06BDD"/>
    <w:multiLevelType w:val="multilevel"/>
    <w:tmpl w:val="830E1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36155D"/>
    <w:multiLevelType w:val="multilevel"/>
    <w:tmpl w:val="A41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3A063FCC"/>
    <w:multiLevelType w:val="hybridMultilevel"/>
    <w:tmpl w:val="49F0C9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83D1E"/>
    <w:multiLevelType w:val="multilevel"/>
    <w:tmpl w:val="EE1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3DF762D8"/>
    <w:multiLevelType w:val="hybridMultilevel"/>
    <w:tmpl w:val="A00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C68E9"/>
    <w:multiLevelType w:val="hybridMultilevel"/>
    <w:tmpl w:val="5F1A06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242B2"/>
    <w:multiLevelType w:val="multilevel"/>
    <w:tmpl w:val="D65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42CA11CC"/>
    <w:multiLevelType w:val="multilevel"/>
    <w:tmpl w:val="E74A7F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A6516E"/>
    <w:multiLevelType w:val="hybridMultilevel"/>
    <w:tmpl w:val="719AC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64D3076"/>
    <w:multiLevelType w:val="multilevel"/>
    <w:tmpl w:val="9D7E9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01275E"/>
    <w:multiLevelType w:val="hybridMultilevel"/>
    <w:tmpl w:val="F94C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50B1C"/>
    <w:multiLevelType w:val="hybridMultilevel"/>
    <w:tmpl w:val="04AA3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3A28F6"/>
    <w:multiLevelType w:val="multilevel"/>
    <w:tmpl w:val="2EE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511D1CA5"/>
    <w:multiLevelType w:val="multilevel"/>
    <w:tmpl w:val="4CD0375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AB346A"/>
    <w:multiLevelType w:val="hybridMultilevel"/>
    <w:tmpl w:val="F364E030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F0CAE"/>
    <w:multiLevelType w:val="multilevel"/>
    <w:tmpl w:val="302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E924D0"/>
    <w:multiLevelType w:val="multilevel"/>
    <w:tmpl w:val="F208B3B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F62A90"/>
    <w:multiLevelType w:val="hybridMultilevel"/>
    <w:tmpl w:val="1178AB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EA23CF"/>
    <w:multiLevelType w:val="multilevel"/>
    <w:tmpl w:val="DF8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63087A32"/>
    <w:multiLevelType w:val="multilevel"/>
    <w:tmpl w:val="3A4E1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431902"/>
    <w:multiLevelType w:val="multilevel"/>
    <w:tmpl w:val="498837F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9917E0"/>
    <w:multiLevelType w:val="hybridMultilevel"/>
    <w:tmpl w:val="4B068948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54" w15:restartNumberingAfterBreak="0">
    <w:nsid w:val="6C204BD1"/>
    <w:multiLevelType w:val="multilevel"/>
    <w:tmpl w:val="8CD6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DF515CA"/>
    <w:multiLevelType w:val="hybridMultilevel"/>
    <w:tmpl w:val="4ED49F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66CC5"/>
    <w:multiLevelType w:val="multilevel"/>
    <w:tmpl w:val="3A3675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3904C1"/>
    <w:multiLevelType w:val="multilevel"/>
    <w:tmpl w:val="3C62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BA4C74"/>
    <w:multiLevelType w:val="multilevel"/>
    <w:tmpl w:val="A88A3E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6459EC"/>
    <w:multiLevelType w:val="multilevel"/>
    <w:tmpl w:val="03762FC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723F9C"/>
    <w:multiLevelType w:val="hybridMultilevel"/>
    <w:tmpl w:val="4AE0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91909"/>
    <w:multiLevelType w:val="multilevel"/>
    <w:tmpl w:val="337A5E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C932F7"/>
    <w:multiLevelType w:val="multilevel"/>
    <w:tmpl w:val="C2D848F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56"/>
  </w:num>
  <w:num w:numId="2" w16cid:durableId="187184576">
    <w:abstractNumId w:val="30"/>
  </w:num>
  <w:num w:numId="3" w16cid:durableId="640768867">
    <w:abstractNumId w:val="26"/>
  </w:num>
  <w:num w:numId="4" w16cid:durableId="1883859245">
    <w:abstractNumId w:val="34"/>
  </w:num>
  <w:num w:numId="5" w16cid:durableId="480120409">
    <w:abstractNumId w:val="51"/>
  </w:num>
  <w:num w:numId="6" w16cid:durableId="448083829">
    <w:abstractNumId w:val="12"/>
  </w:num>
  <w:num w:numId="7" w16cid:durableId="1701055645">
    <w:abstractNumId w:val="39"/>
  </w:num>
  <w:num w:numId="8" w16cid:durableId="1879900676">
    <w:abstractNumId w:val="23"/>
  </w:num>
  <w:num w:numId="9" w16cid:durableId="433672654">
    <w:abstractNumId w:val="59"/>
  </w:num>
  <w:num w:numId="10" w16cid:durableId="541552148">
    <w:abstractNumId w:val="8"/>
  </w:num>
  <w:num w:numId="11" w16cid:durableId="1261062102">
    <w:abstractNumId w:val="45"/>
  </w:num>
  <w:num w:numId="12" w16cid:durableId="583952530">
    <w:abstractNumId w:val="14"/>
  </w:num>
  <w:num w:numId="13" w16cid:durableId="1228419531">
    <w:abstractNumId w:val="63"/>
  </w:num>
  <w:num w:numId="14" w16cid:durableId="655575904">
    <w:abstractNumId w:val="60"/>
  </w:num>
  <w:num w:numId="15" w16cid:durableId="1211067618">
    <w:abstractNumId w:val="52"/>
  </w:num>
  <w:num w:numId="16" w16cid:durableId="1545486944">
    <w:abstractNumId w:val="58"/>
  </w:num>
  <w:num w:numId="17" w16cid:durableId="1263755688">
    <w:abstractNumId w:val="17"/>
  </w:num>
  <w:num w:numId="18" w16cid:durableId="874804201">
    <w:abstractNumId w:val="20"/>
  </w:num>
  <w:num w:numId="19" w16cid:durableId="1375348354">
    <w:abstractNumId w:val="13"/>
  </w:num>
  <w:num w:numId="20" w16cid:durableId="1784692945">
    <w:abstractNumId w:val="62"/>
  </w:num>
  <w:num w:numId="21" w16cid:durableId="1110972839">
    <w:abstractNumId w:val="48"/>
  </w:num>
  <w:num w:numId="22" w16cid:durableId="108475843">
    <w:abstractNumId w:val="41"/>
  </w:num>
  <w:num w:numId="23" w16cid:durableId="1785420530">
    <w:abstractNumId w:val="21"/>
  </w:num>
  <w:num w:numId="24" w16cid:durableId="337122541">
    <w:abstractNumId w:val="31"/>
  </w:num>
  <w:num w:numId="25" w16cid:durableId="865557716">
    <w:abstractNumId w:val="57"/>
  </w:num>
  <w:num w:numId="26" w16cid:durableId="1840539526">
    <w:abstractNumId w:val="5"/>
  </w:num>
  <w:num w:numId="27" w16cid:durableId="5986618">
    <w:abstractNumId w:val="36"/>
  </w:num>
  <w:num w:numId="28" w16cid:durableId="850535027">
    <w:abstractNumId w:val="18"/>
  </w:num>
  <w:num w:numId="29" w16cid:durableId="249118990">
    <w:abstractNumId w:val="47"/>
  </w:num>
  <w:num w:numId="30" w16cid:durableId="1667397107">
    <w:abstractNumId w:val="42"/>
  </w:num>
  <w:num w:numId="31" w16cid:durableId="191841047">
    <w:abstractNumId w:val="4"/>
  </w:num>
  <w:num w:numId="32" w16cid:durableId="744764909">
    <w:abstractNumId w:val="16"/>
  </w:num>
  <w:num w:numId="33" w16cid:durableId="1141310081">
    <w:abstractNumId w:val="27"/>
  </w:num>
  <w:num w:numId="34" w16cid:durableId="824319005">
    <w:abstractNumId w:val="50"/>
  </w:num>
  <w:num w:numId="35" w16cid:durableId="1857302918">
    <w:abstractNumId w:val="29"/>
  </w:num>
  <w:num w:numId="36" w16cid:durableId="2135324711">
    <w:abstractNumId w:val="7"/>
  </w:num>
  <w:num w:numId="37" w16cid:durableId="1626694660">
    <w:abstractNumId w:val="35"/>
  </w:num>
  <w:num w:numId="38" w16cid:durableId="881593429">
    <w:abstractNumId w:val="32"/>
  </w:num>
  <w:num w:numId="39" w16cid:durableId="1412503150">
    <w:abstractNumId w:val="44"/>
  </w:num>
  <w:num w:numId="40" w16cid:durableId="1609241048">
    <w:abstractNumId w:val="19"/>
  </w:num>
  <w:num w:numId="41" w16cid:durableId="86705262">
    <w:abstractNumId w:val="38"/>
  </w:num>
  <w:num w:numId="42" w16cid:durableId="1311010846">
    <w:abstractNumId w:val="24"/>
  </w:num>
  <w:num w:numId="43" w16cid:durableId="2060785276">
    <w:abstractNumId w:val="49"/>
  </w:num>
  <w:num w:numId="44" w16cid:durableId="887181855">
    <w:abstractNumId w:val="43"/>
  </w:num>
  <w:num w:numId="45" w16cid:durableId="1470704432">
    <w:abstractNumId w:val="54"/>
  </w:num>
  <w:num w:numId="46" w16cid:durableId="1780678882">
    <w:abstractNumId w:val="3"/>
  </w:num>
  <w:num w:numId="47" w16cid:durableId="257836995">
    <w:abstractNumId w:val="28"/>
  </w:num>
  <w:num w:numId="48" w16cid:durableId="45185878">
    <w:abstractNumId w:val="46"/>
  </w:num>
  <w:num w:numId="49" w16cid:durableId="1255551135">
    <w:abstractNumId w:val="2"/>
  </w:num>
  <w:num w:numId="50" w16cid:durableId="106193887">
    <w:abstractNumId w:val="61"/>
  </w:num>
  <w:num w:numId="51" w16cid:durableId="1679888548">
    <w:abstractNumId w:val="22"/>
  </w:num>
  <w:num w:numId="52" w16cid:durableId="1577007965">
    <w:abstractNumId w:val="9"/>
  </w:num>
  <w:num w:numId="53" w16cid:durableId="518354000">
    <w:abstractNumId w:val="55"/>
  </w:num>
  <w:num w:numId="54" w16cid:durableId="394666455">
    <w:abstractNumId w:val="53"/>
  </w:num>
  <w:num w:numId="55" w16cid:durableId="675235304">
    <w:abstractNumId w:val="15"/>
  </w:num>
  <w:num w:numId="56" w16cid:durableId="1199011325">
    <w:abstractNumId w:val="33"/>
  </w:num>
  <w:num w:numId="57" w16cid:durableId="942886396">
    <w:abstractNumId w:val="11"/>
  </w:num>
  <w:num w:numId="58" w16cid:durableId="369719989">
    <w:abstractNumId w:val="40"/>
  </w:num>
  <w:num w:numId="59" w16cid:durableId="238249687">
    <w:abstractNumId w:val="25"/>
  </w:num>
  <w:num w:numId="60" w16cid:durableId="312686134">
    <w:abstractNumId w:val="6"/>
  </w:num>
  <w:num w:numId="61" w16cid:durableId="1126393600">
    <w:abstractNumId w:val="37"/>
  </w:num>
  <w:num w:numId="62" w16cid:durableId="2109042548">
    <w:abstractNumId w:val="1"/>
  </w:num>
  <w:num w:numId="63" w16cid:durableId="697311556">
    <w:abstractNumId w:val="0"/>
  </w:num>
  <w:num w:numId="64" w16cid:durableId="69157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D21EC"/>
    <w:rsid w:val="00196239"/>
    <w:rsid w:val="00197F12"/>
    <w:rsid w:val="00214194"/>
    <w:rsid w:val="00233F68"/>
    <w:rsid w:val="0026715E"/>
    <w:rsid w:val="00317C5D"/>
    <w:rsid w:val="00376A25"/>
    <w:rsid w:val="005A673F"/>
    <w:rsid w:val="005C4FA3"/>
    <w:rsid w:val="0062016B"/>
    <w:rsid w:val="00644755"/>
    <w:rsid w:val="006A2CD9"/>
    <w:rsid w:val="006D7414"/>
    <w:rsid w:val="008068B3"/>
    <w:rsid w:val="00821083"/>
    <w:rsid w:val="008A00A7"/>
    <w:rsid w:val="008A523D"/>
    <w:rsid w:val="008B679A"/>
    <w:rsid w:val="009572F3"/>
    <w:rsid w:val="00A55C56"/>
    <w:rsid w:val="00A94715"/>
    <w:rsid w:val="00AB5E1B"/>
    <w:rsid w:val="00AC0440"/>
    <w:rsid w:val="00AE09B7"/>
    <w:rsid w:val="00B27CC7"/>
    <w:rsid w:val="00B62EED"/>
    <w:rsid w:val="00BA4DE8"/>
    <w:rsid w:val="00BE658D"/>
    <w:rsid w:val="00CD3FA5"/>
    <w:rsid w:val="00D30ED2"/>
    <w:rsid w:val="00D325AB"/>
    <w:rsid w:val="00D8731F"/>
    <w:rsid w:val="00D91F21"/>
    <w:rsid w:val="00E272E7"/>
    <w:rsid w:val="00E56A26"/>
    <w:rsid w:val="00E829B9"/>
    <w:rsid w:val="00E959C1"/>
    <w:rsid w:val="00EE01EE"/>
    <w:rsid w:val="00F5306F"/>
    <w:rsid w:val="00FF7AA5"/>
    <w:rsid w:val="116DED05"/>
    <w:rsid w:val="187EA5A6"/>
    <w:rsid w:val="2AFFA726"/>
    <w:rsid w:val="3446CEDD"/>
    <w:rsid w:val="659FDBA8"/>
    <w:rsid w:val="71D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97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068B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D3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8645-4AFC-4087-A9FB-FDCFBF87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37D21-AFA1-40CE-ACE7-C42C4B81288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740bd92d-f8e2-4676-9dca-7b44cfe5872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E112BE-A986-4170-810F-2F129218A4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14</cp:revision>
  <dcterms:created xsi:type="dcterms:W3CDTF">2025-04-05T19:33:00Z</dcterms:created>
  <dcterms:modified xsi:type="dcterms:W3CDTF">2025-07-06T22:17:58Z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2025-04-05T19:33:11Z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cff1a006-ae42-4b40-8cfc-48cdb411f980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