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5548" w14:textId="015FF2B4" w:rsidR="00E05A27" w:rsidRPr="00636B96" w:rsidRDefault="00E05A27" w:rsidP="00636B96">
      <w:pPr>
        <w:widowControl/>
        <w:snapToGrid w:val="0"/>
        <w:spacing w:line="264" w:lineRule="auto"/>
        <w:jc w:val="center"/>
        <w:rPr>
          <w:rFonts w:ascii="Calibri" w:eastAsia="Calibri" w:hAnsi="Calibri" w:cs="Calibri"/>
          <w:b/>
          <w:bCs/>
          <w:snapToGrid/>
          <w:color w:val="000000" w:themeColor="text1"/>
          <w:szCs w:val="24"/>
        </w:rPr>
      </w:pPr>
      <w:r w:rsidRPr="00636B96">
        <w:rPr>
          <w:rFonts w:ascii="Calibri" w:eastAsia="Calibri" w:hAnsi="Calibri" w:cs="Calibri"/>
          <w:b/>
          <w:bCs/>
          <w:snapToGrid/>
          <w:color w:val="000000" w:themeColor="text1"/>
          <w:szCs w:val="24"/>
        </w:rPr>
        <w:t>SECTION: PAY</w:t>
      </w:r>
      <w:r w:rsidR="00B5380F" w:rsidRPr="00636B96">
        <w:rPr>
          <w:rFonts w:ascii="Calibri" w:eastAsia="Calibri" w:hAnsi="Calibri" w:cs="Calibri"/>
          <w:b/>
          <w:bCs/>
          <w:snapToGrid/>
          <w:color w:val="000000" w:themeColor="text1"/>
          <w:szCs w:val="24"/>
        </w:rPr>
        <w:t xml:space="preserve"> AND COMPENSATION</w:t>
      </w:r>
    </w:p>
    <w:p w14:paraId="13208F30" w14:textId="77777777" w:rsidR="00E05A27" w:rsidRPr="00636B96" w:rsidRDefault="00E05A27" w:rsidP="00636B96">
      <w:pPr>
        <w:widowControl/>
        <w:snapToGrid w:val="0"/>
        <w:spacing w:line="264" w:lineRule="auto"/>
        <w:rPr>
          <w:rFonts w:ascii="Calibri" w:eastAsia="Calibri" w:hAnsi="Calibri" w:cs="Calibri"/>
          <w:b/>
          <w:bCs/>
          <w:snapToGrid/>
          <w:color w:val="000000" w:themeColor="text1"/>
          <w:szCs w:val="24"/>
        </w:rPr>
      </w:pPr>
    </w:p>
    <w:p w14:paraId="6321EAB8" w14:textId="358C3BBC" w:rsidR="00E05A27" w:rsidRPr="00636B96" w:rsidRDefault="00E05A27" w:rsidP="00636B96">
      <w:pPr>
        <w:widowControl/>
        <w:tabs>
          <w:tab w:val="left" w:pos="5040"/>
        </w:tabs>
        <w:snapToGrid w:val="0"/>
        <w:spacing w:line="264" w:lineRule="auto"/>
        <w:rPr>
          <w:rFonts w:ascii="Calibri" w:eastAsia="Calibri" w:hAnsi="Calibri" w:cs="Calibri"/>
          <w:snapToGrid/>
          <w:color w:val="000000" w:themeColor="text1"/>
          <w:szCs w:val="24"/>
        </w:rPr>
      </w:pPr>
      <w:r w:rsidRPr="00636B96">
        <w:rPr>
          <w:rFonts w:ascii="Calibri" w:eastAsia="Calibri" w:hAnsi="Calibri" w:cs="Calibri"/>
          <w:b/>
          <w:bCs/>
          <w:snapToGrid/>
          <w:color w:val="000000" w:themeColor="text1"/>
          <w:szCs w:val="24"/>
        </w:rPr>
        <w:t>POLICY:</w:t>
      </w:r>
      <w:r w:rsidRPr="00636B96">
        <w:rPr>
          <w:rFonts w:ascii="Calibri" w:eastAsia="Calibri" w:hAnsi="Calibri" w:cs="Calibri"/>
          <w:snapToGrid/>
          <w:color w:val="000000" w:themeColor="text1"/>
          <w:szCs w:val="24"/>
        </w:rPr>
        <w:t xml:space="preserve"> Longevity</w:t>
      </w:r>
      <w:r w:rsidR="00CA2159" w:rsidRPr="00636B96">
        <w:rPr>
          <w:rFonts w:ascii="Calibri" w:eastAsia="Calibri" w:hAnsi="Calibri" w:cs="Calibri"/>
          <w:snapToGrid/>
          <w:color w:val="000000" w:themeColor="text1"/>
          <w:szCs w:val="24"/>
        </w:rPr>
        <w:tab/>
      </w:r>
      <w:r w:rsidRPr="00636B96">
        <w:rPr>
          <w:rFonts w:ascii="Calibri" w:eastAsia="Calibri" w:hAnsi="Calibri" w:cs="Calibri"/>
          <w:b/>
          <w:bCs/>
          <w:snapToGrid/>
          <w:color w:val="000000" w:themeColor="text1"/>
          <w:szCs w:val="24"/>
        </w:rPr>
        <w:t xml:space="preserve">EFFECTIVE DATE: </w:t>
      </w:r>
      <w:r w:rsidR="00CA2159" w:rsidRPr="00636B96">
        <w:rPr>
          <w:rFonts w:ascii="Calibri" w:eastAsia="Calibri" w:hAnsi="Calibri" w:cs="Calibri"/>
          <w:snapToGrid/>
          <w:color w:val="000000" w:themeColor="text1"/>
          <w:szCs w:val="24"/>
        </w:rPr>
        <w:t xml:space="preserve">insert </w:t>
      </w:r>
      <w:r w:rsidRPr="00636B96">
        <w:rPr>
          <w:rFonts w:ascii="Calibri" w:eastAsia="Calibri" w:hAnsi="Calibri" w:cs="Calibri"/>
          <w:snapToGrid/>
          <w:color w:val="000000" w:themeColor="text1"/>
          <w:szCs w:val="24"/>
        </w:rPr>
        <w:t>date adopted</w:t>
      </w:r>
    </w:p>
    <w:p w14:paraId="6B20290E" w14:textId="77777777" w:rsidR="00C16A80" w:rsidRPr="00636B96" w:rsidRDefault="00C16A80" w:rsidP="00636B96">
      <w:pPr>
        <w:pStyle w:val="Default"/>
        <w:spacing w:line="264" w:lineRule="auto"/>
        <w:rPr>
          <w:rFonts w:ascii="Calibri" w:hAnsi="Calibri" w:cs="Calibri"/>
          <w:color w:val="000000" w:themeColor="text1"/>
        </w:rPr>
      </w:pPr>
    </w:p>
    <w:p w14:paraId="389AB5C1" w14:textId="77777777" w:rsidR="00E24110" w:rsidRPr="00636B96" w:rsidRDefault="00E24110" w:rsidP="00636B96">
      <w:pPr>
        <w:spacing w:line="264" w:lineRule="auto"/>
        <w:rPr>
          <w:rFonts w:ascii="Calibri" w:hAnsi="Calibri" w:cs="Calibri"/>
          <w:color w:val="000000" w:themeColor="text1"/>
          <w:szCs w:val="24"/>
        </w:rPr>
      </w:pPr>
    </w:p>
    <w:p w14:paraId="2D84C0EF" w14:textId="02D5B223" w:rsidR="00C16A80" w:rsidRPr="00636B96" w:rsidRDefault="00E05A27" w:rsidP="00636B96">
      <w:pPr>
        <w:spacing w:line="264" w:lineRule="auto"/>
        <w:rPr>
          <w:rFonts w:ascii="Calibri" w:hAnsi="Calibri" w:cs="Calibri"/>
          <w:b/>
          <w:bCs/>
          <w:color w:val="000000" w:themeColor="text1"/>
          <w:szCs w:val="24"/>
        </w:rPr>
      </w:pPr>
      <w:r w:rsidRPr="00636B96">
        <w:rPr>
          <w:rFonts w:ascii="Calibri" w:hAnsi="Calibri" w:cs="Calibri"/>
          <w:b/>
          <w:bCs/>
          <w:color w:val="000000" w:themeColor="text1"/>
          <w:szCs w:val="24"/>
        </w:rPr>
        <w:t>STATEMENT OF PURPOSE:</w:t>
      </w:r>
    </w:p>
    <w:p w14:paraId="5EC6A68E" w14:textId="77777777" w:rsidR="00E24110" w:rsidRPr="00636B96" w:rsidRDefault="00E24110" w:rsidP="00636B96">
      <w:pPr>
        <w:spacing w:line="264" w:lineRule="auto"/>
        <w:rPr>
          <w:rFonts w:ascii="Calibri" w:hAnsi="Calibri" w:cs="Calibri"/>
          <w:b/>
          <w:bCs/>
          <w:snapToGrid/>
          <w:color w:val="000000" w:themeColor="text1"/>
          <w:szCs w:val="24"/>
          <w14:ligatures w14:val="none"/>
        </w:rPr>
      </w:pPr>
    </w:p>
    <w:p w14:paraId="58EA6C4F" w14:textId="77777777" w:rsidR="00C16A80" w:rsidRPr="00636B96" w:rsidRDefault="00C16A80" w:rsidP="00636B96">
      <w:pPr>
        <w:widowControl/>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The purpose of this policy is to recognize and reward employees for their continued service and dedication to the City. Longevity pay is designed to provide an additional financial incentive for long-term employees to encourage retention and acknowledge their years of contribution to the organization.</w:t>
      </w:r>
    </w:p>
    <w:p w14:paraId="0CD7CB4F" w14:textId="77777777" w:rsidR="00657378" w:rsidRPr="00636B96" w:rsidRDefault="00657378" w:rsidP="00636B96">
      <w:pPr>
        <w:spacing w:line="264" w:lineRule="auto"/>
        <w:rPr>
          <w:rFonts w:ascii="Calibri" w:hAnsi="Calibri" w:cs="Calibri"/>
          <w:b/>
          <w:bCs/>
          <w:color w:val="000000" w:themeColor="text1"/>
          <w:szCs w:val="24"/>
        </w:rPr>
      </w:pPr>
    </w:p>
    <w:p w14:paraId="370B4C54" w14:textId="0F2E881C" w:rsidR="00C16A80" w:rsidRPr="00636B96" w:rsidRDefault="00E05A27" w:rsidP="00636B96">
      <w:pPr>
        <w:spacing w:line="264" w:lineRule="auto"/>
        <w:rPr>
          <w:rFonts w:ascii="Calibri" w:hAnsi="Calibri" w:cs="Calibri"/>
          <w:b/>
          <w:bCs/>
          <w:color w:val="000000" w:themeColor="text1"/>
          <w:szCs w:val="24"/>
        </w:rPr>
      </w:pPr>
      <w:r w:rsidRPr="00636B96">
        <w:rPr>
          <w:rFonts w:ascii="Calibri" w:hAnsi="Calibri" w:cs="Calibri"/>
          <w:b/>
          <w:bCs/>
          <w:color w:val="000000" w:themeColor="text1"/>
          <w:szCs w:val="24"/>
        </w:rPr>
        <w:t>DEFINITIONS:</w:t>
      </w:r>
    </w:p>
    <w:p w14:paraId="685BBE66" w14:textId="77777777" w:rsidR="00657378" w:rsidRPr="00636B96" w:rsidRDefault="00657378" w:rsidP="00636B96">
      <w:pPr>
        <w:spacing w:line="264" w:lineRule="auto"/>
        <w:rPr>
          <w:rFonts w:ascii="Calibri" w:hAnsi="Calibri" w:cs="Calibri"/>
          <w:b/>
          <w:bCs/>
          <w:color w:val="000000" w:themeColor="text1"/>
          <w:szCs w:val="24"/>
        </w:rPr>
      </w:pPr>
    </w:p>
    <w:p w14:paraId="477C163F" w14:textId="77777777" w:rsidR="00C16A80" w:rsidRPr="00636B96" w:rsidRDefault="00C16A80" w:rsidP="00636B96">
      <w:pPr>
        <w:widowControl/>
        <w:numPr>
          <w:ilvl w:val="0"/>
          <w:numId w:val="19"/>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Longevity Pay: Additional compensation given to employees based on the length of their service with the City.</w:t>
      </w:r>
    </w:p>
    <w:p w14:paraId="2C3E7A7F" w14:textId="77777777" w:rsidR="00636B96" w:rsidRPr="00636B96" w:rsidRDefault="00636B96" w:rsidP="00636B96">
      <w:pPr>
        <w:widowControl/>
        <w:spacing w:line="264" w:lineRule="auto"/>
        <w:ind w:left="720"/>
        <w:rPr>
          <w:rFonts w:ascii="Calibri" w:hAnsi="Calibri" w:cs="Calibri"/>
          <w:snapToGrid/>
          <w:color w:val="000000" w:themeColor="text1"/>
          <w:szCs w:val="24"/>
          <w14:ligatures w14:val="none"/>
        </w:rPr>
      </w:pPr>
    </w:p>
    <w:p w14:paraId="7E6E3FA8" w14:textId="77777777" w:rsidR="00C16A80" w:rsidRPr="00636B96" w:rsidRDefault="00C16A80" w:rsidP="00636B96">
      <w:pPr>
        <w:widowControl/>
        <w:numPr>
          <w:ilvl w:val="0"/>
          <w:numId w:val="19"/>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Years of Service: The total number of full years of continuous employment with the City.</w:t>
      </w:r>
    </w:p>
    <w:p w14:paraId="10630C91" w14:textId="77777777" w:rsidR="00636B96" w:rsidRPr="00636B96" w:rsidRDefault="00636B96" w:rsidP="00636B96">
      <w:pPr>
        <w:widowControl/>
        <w:spacing w:line="264" w:lineRule="auto"/>
        <w:ind w:left="720"/>
        <w:rPr>
          <w:rFonts w:ascii="Calibri" w:hAnsi="Calibri" w:cs="Calibri"/>
          <w:snapToGrid/>
          <w:color w:val="000000" w:themeColor="text1"/>
          <w:szCs w:val="24"/>
          <w14:ligatures w14:val="none"/>
        </w:rPr>
      </w:pPr>
    </w:p>
    <w:p w14:paraId="668D08E3" w14:textId="73EE19DC" w:rsidR="00C16A80" w:rsidRPr="00636B96" w:rsidRDefault="00C16A80" w:rsidP="00636B96">
      <w:pPr>
        <w:widowControl/>
        <w:numPr>
          <w:ilvl w:val="0"/>
          <w:numId w:val="19"/>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Eligible Employees: Employees who have completed at least one full year of service and are not on a temporary or probationary status.</w:t>
      </w:r>
    </w:p>
    <w:p w14:paraId="041BD0C2" w14:textId="77777777" w:rsidR="00636B96" w:rsidRPr="00636B96" w:rsidRDefault="00636B96" w:rsidP="00636B96">
      <w:pPr>
        <w:widowControl/>
        <w:spacing w:line="264" w:lineRule="auto"/>
        <w:ind w:left="720"/>
        <w:rPr>
          <w:rFonts w:ascii="Calibri" w:hAnsi="Calibri" w:cs="Calibri"/>
          <w:snapToGrid/>
          <w:color w:val="000000" w:themeColor="text1"/>
          <w:szCs w:val="24"/>
          <w14:ligatures w14:val="none"/>
        </w:rPr>
      </w:pPr>
    </w:p>
    <w:p w14:paraId="4B9AEC38" w14:textId="42E5C74E" w:rsidR="00C16A80" w:rsidRPr="00636B96" w:rsidRDefault="00C16A80" w:rsidP="00636B96">
      <w:pPr>
        <w:widowControl/>
        <w:numPr>
          <w:ilvl w:val="0"/>
          <w:numId w:val="19"/>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Separation: The termination of an employee’s employment, whether voluntary or involuntary.</w:t>
      </w:r>
    </w:p>
    <w:p w14:paraId="13145913" w14:textId="77777777" w:rsidR="00657378" w:rsidRPr="00636B96" w:rsidRDefault="00657378" w:rsidP="00636B96">
      <w:pPr>
        <w:spacing w:line="264" w:lineRule="auto"/>
        <w:rPr>
          <w:rFonts w:ascii="Calibri" w:hAnsi="Calibri" w:cs="Calibri"/>
          <w:b/>
          <w:bCs/>
          <w:color w:val="000000" w:themeColor="text1"/>
          <w:szCs w:val="24"/>
        </w:rPr>
      </w:pPr>
    </w:p>
    <w:p w14:paraId="7ADD9E69" w14:textId="77777777" w:rsidR="00636B96" w:rsidRPr="00636B96" w:rsidRDefault="00636B96" w:rsidP="00636B96">
      <w:pPr>
        <w:spacing w:line="264" w:lineRule="auto"/>
        <w:rPr>
          <w:rFonts w:ascii="Calibri" w:hAnsi="Calibri" w:cs="Calibri"/>
          <w:b/>
          <w:bCs/>
          <w:color w:val="000000" w:themeColor="text1"/>
          <w:szCs w:val="24"/>
        </w:rPr>
      </w:pPr>
      <w:r w:rsidRPr="00636B96">
        <w:rPr>
          <w:rFonts w:ascii="Calibri" w:hAnsi="Calibri" w:cs="Calibri"/>
          <w:b/>
          <w:bCs/>
          <w:color w:val="000000" w:themeColor="text1"/>
          <w:szCs w:val="24"/>
        </w:rPr>
        <w:t>APPLICABILITY:</w:t>
      </w:r>
    </w:p>
    <w:p w14:paraId="231323D9" w14:textId="77777777" w:rsidR="00636B96" w:rsidRPr="00636B96" w:rsidRDefault="00636B96" w:rsidP="00636B96">
      <w:pPr>
        <w:spacing w:line="264" w:lineRule="auto"/>
        <w:rPr>
          <w:rFonts w:ascii="Calibri" w:hAnsi="Calibri" w:cs="Calibri"/>
          <w:b/>
          <w:bCs/>
          <w:color w:val="000000" w:themeColor="text1"/>
          <w:szCs w:val="24"/>
        </w:rPr>
      </w:pPr>
    </w:p>
    <w:p w14:paraId="3052FF7E" w14:textId="77777777" w:rsidR="00636B96" w:rsidRPr="00636B96" w:rsidRDefault="7C69BEAD" w:rsidP="5C62B125">
      <w:pPr>
        <w:widowControl/>
        <w:spacing w:line="264" w:lineRule="auto"/>
        <w:rPr>
          <w:rFonts w:ascii="Calibri" w:hAnsi="Calibri" w:cs="Calibri"/>
          <w:snapToGrid/>
          <w:color w:val="000000" w:themeColor="text1"/>
          <w14:ligatures w14:val="none"/>
        </w:rPr>
      </w:pPr>
      <w:r w:rsidRPr="5C62B125">
        <w:rPr>
          <w:rFonts w:ascii="Calibri" w:hAnsi="Calibri" w:cs="Calibri"/>
          <w:snapToGrid/>
          <w:color w:val="000000" w:themeColor="text1"/>
          <w14:ligatures w14:val="none"/>
        </w:rPr>
        <w:t>This policy applies to all regular full-time employees of the City who have met the eligibility requirements for longevity pay. It does not apply to part-time, temporary, or contract employees, unless otherwise stated in their employment agreements.</w:t>
      </w:r>
    </w:p>
    <w:p w14:paraId="12D4701C" w14:textId="77777777" w:rsidR="00636B96" w:rsidRPr="00636B96" w:rsidRDefault="00636B96" w:rsidP="00636B96">
      <w:pPr>
        <w:spacing w:line="264" w:lineRule="auto"/>
        <w:rPr>
          <w:rFonts w:ascii="Calibri" w:hAnsi="Calibri" w:cs="Calibri"/>
          <w:b/>
          <w:bCs/>
          <w:color w:val="000000" w:themeColor="text1"/>
          <w:szCs w:val="24"/>
        </w:rPr>
      </w:pPr>
    </w:p>
    <w:p w14:paraId="682122CA" w14:textId="22A445BE" w:rsidR="00C16A80" w:rsidRPr="00636B96" w:rsidRDefault="00E05A27" w:rsidP="00636B96">
      <w:pPr>
        <w:spacing w:line="264" w:lineRule="auto"/>
        <w:rPr>
          <w:rFonts w:ascii="Calibri" w:hAnsi="Calibri" w:cs="Calibri"/>
          <w:b/>
          <w:bCs/>
          <w:color w:val="000000" w:themeColor="text1"/>
          <w:szCs w:val="24"/>
        </w:rPr>
      </w:pPr>
      <w:r w:rsidRPr="00636B96">
        <w:rPr>
          <w:rFonts w:ascii="Calibri" w:hAnsi="Calibri" w:cs="Calibri"/>
          <w:b/>
          <w:bCs/>
          <w:color w:val="000000" w:themeColor="text1"/>
          <w:szCs w:val="24"/>
        </w:rPr>
        <w:t>POLICY:</w:t>
      </w:r>
    </w:p>
    <w:p w14:paraId="29D88E24" w14:textId="77777777" w:rsidR="00657378" w:rsidRPr="00636B96" w:rsidRDefault="00657378" w:rsidP="00636B96">
      <w:pPr>
        <w:spacing w:line="264" w:lineRule="auto"/>
        <w:rPr>
          <w:rFonts w:ascii="Calibri" w:hAnsi="Calibri" w:cs="Calibri"/>
          <w:b/>
          <w:bCs/>
          <w:color w:val="000000" w:themeColor="text1"/>
          <w:szCs w:val="24"/>
        </w:rPr>
      </w:pPr>
    </w:p>
    <w:p w14:paraId="12143F45" w14:textId="77777777" w:rsidR="00636B96" w:rsidRPr="00636B96" w:rsidRDefault="00C16A80" w:rsidP="00636B96">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Eligibility for Longevity Pay:</w:t>
      </w:r>
    </w:p>
    <w:p w14:paraId="13E98CFF" w14:textId="77777777" w:rsidR="00636B96" w:rsidRPr="00636B96" w:rsidRDefault="00C16A80" w:rsidP="00636B96">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Employees are eligible for longevity pay after completing one full year of service with the City.</w:t>
      </w:r>
    </w:p>
    <w:p w14:paraId="39B7E8C5" w14:textId="207E8A5B" w:rsidR="00636B96" w:rsidRPr="00636B96" w:rsidRDefault="007302D4" w:rsidP="00636B96">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Eligibility</w:t>
      </w:r>
      <w:r w:rsidR="00C16A80" w:rsidRPr="00636B96">
        <w:rPr>
          <w:rFonts w:ascii="Calibri" w:hAnsi="Calibri" w:cs="Calibri"/>
          <w:snapToGrid/>
          <w:color w:val="000000" w:themeColor="text1"/>
          <w:szCs w:val="24"/>
          <w14:ligatures w14:val="none"/>
        </w:rPr>
        <w:t xml:space="preserve"> is based on the employee’s anniversary month, i.e., the end of the month in which the employee began employment.</w:t>
      </w:r>
    </w:p>
    <w:p w14:paraId="4D097545" w14:textId="77777777" w:rsidR="00636B96" w:rsidRPr="00636B96" w:rsidRDefault="00636B96" w:rsidP="00636B96">
      <w:pPr>
        <w:pStyle w:val="ListParagraph"/>
        <w:widowControl/>
        <w:spacing w:line="264" w:lineRule="auto"/>
        <w:contextualSpacing w:val="0"/>
        <w:rPr>
          <w:rFonts w:ascii="Calibri" w:hAnsi="Calibri" w:cs="Calibri"/>
          <w:snapToGrid/>
          <w:color w:val="000000" w:themeColor="text1"/>
          <w:szCs w:val="24"/>
          <w14:ligatures w14:val="none"/>
        </w:rPr>
      </w:pPr>
    </w:p>
    <w:p w14:paraId="41ED733B" w14:textId="2309E100" w:rsidR="00636B96" w:rsidRPr="00636B96" w:rsidRDefault="00C16A80" w:rsidP="00636B96">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Longevity Pay Rate:</w:t>
      </w:r>
    </w:p>
    <w:p w14:paraId="11484F02" w14:textId="77777777" w:rsidR="00636B96" w:rsidRPr="00636B96" w:rsidRDefault="00C16A80" w:rsidP="00636B96">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lastRenderedPageBreak/>
        <w:t>Longevity pay is granted at a rate of $4.00 per month for each year of service, or a higher amount as determined by the City.</w:t>
      </w:r>
    </w:p>
    <w:p w14:paraId="73203A82" w14:textId="77777777" w:rsidR="00636B96" w:rsidRPr="00636B96" w:rsidRDefault="00C16A80" w:rsidP="00636B96">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The maximum eligibility for longevity pay is based on 25 years of service, meaning the maximum longevity pay an employee can receive is $100.00 per month (25 years x $4.00).</w:t>
      </w:r>
    </w:p>
    <w:p w14:paraId="28E867AB" w14:textId="77777777" w:rsidR="00636B96" w:rsidRPr="00636B96" w:rsidRDefault="00636B96" w:rsidP="00636B96">
      <w:pPr>
        <w:pStyle w:val="ListParagraph"/>
        <w:widowControl/>
        <w:spacing w:line="264" w:lineRule="auto"/>
        <w:contextualSpacing w:val="0"/>
        <w:rPr>
          <w:rFonts w:ascii="Calibri" w:hAnsi="Calibri" w:cs="Calibri"/>
          <w:snapToGrid/>
          <w:color w:val="000000" w:themeColor="text1"/>
          <w:szCs w:val="24"/>
          <w14:ligatures w14:val="none"/>
        </w:rPr>
      </w:pPr>
    </w:p>
    <w:p w14:paraId="4CD79319" w14:textId="7EE4C1B6" w:rsidR="00636B96" w:rsidRPr="00636B96" w:rsidRDefault="00C16A80" w:rsidP="00636B96">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Payment Schedule:</w:t>
      </w:r>
    </w:p>
    <w:p w14:paraId="7087E715" w14:textId="77777777" w:rsidR="00636B96" w:rsidRPr="00636B96" w:rsidRDefault="00C16A80" w:rsidP="00636B96">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Longevity pay may be paid either as an annual lump sum or as part of each regular payroll check, depending on the City’s arrangement.</w:t>
      </w:r>
    </w:p>
    <w:p w14:paraId="35C2EFC9" w14:textId="77777777" w:rsidR="00636B96" w:rsidRPr="00636B96" w:rsidRDefault="00636B96" w:rsidP="00636B96">
      <w:pPr>
        <w:pStyle w:val="ListParagraph"/>
        <w:widowControl/>
        <w:spacing w:line="264" w:lineRule="auto"/>
        <w:contextualSpacing w:val="0"/>
        <w:rPr>
          <w:rFonts w:ascii="Calibri" w:hAnsi="Calibri" w:cs="Calibri"/>
          <w:snapToGrid/>
          <w:color w:val="000000" w:themeColor="text1"/>
          <w:szCs w:val="24"/>
          <w14:ligatures w14:val="none"/>
        </w:rPr>
      </w:pPr>
    </w:p>
    <w:p w14:paraId="63790446" w14:textId="76DDCB08" w:rsidR="00636B96" w:rsidRPr="00636B96" w:rsidRDefault="00C16A80" w:rsidP="00636B96">
      <w:pPr>
        <w:pStyle w:val="ListParagraph"/>
        <w:widowControl/>
        <w:numPr>
          <w:ilvl w:val="0"/>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Partial Longevity at Separation:</w:t>
      </w:r>
    </w:p>
    <w:p w14:paraId="16466E62" w14:textId="77777777" w:rsidR="00636B96" w:rsidRPr="00636B96" w:rsidRDefault="00C16A80" w:rsidP="00636B96">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Unless otherwise required by law (e.g., Police and Fire), partial longevity pay will not be granted upon an employee’s separation from the City.</w:t>
      </w:r>
    </w:p>
    <w:p w14:paraId="6E2AF289" w14:textId="118429DB" w:rsidR="00C16A80" w:rsidRPr="00636B96" w:rsidRDefault="00C16A80" w:rsidP="00636B96">
      <w:pPr>
        <w:pStyle w:val="ListParagraph"/>
        <w:widowControl/>
        <w:numPr>
          <w:ilvl w:val="1"/>
          <w:numId w:val="20"/>
        </w:numPr>
        <w:spacing w:line="264" w:lineRule="auto"/>
        <w:contextualSpacing w:val="0"/>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Employees who leave the City prior to completing a full year of service will not be entitled to any longevity pay for that year.</w:t>
      </w:r>
    </w:p>
    <w:p w14:paraId="4D83820A" w14:textId="77777777" w:rsidR="00657378" w:rsidRPr="00636B96" w:rsidRDefault="00657378" w:rsidP="00636B96">
      <w:pPr>
        <w:spacing w:line="264" w:lineRule="auto"/>
        <w:rPr>
          <w:rFonts w:ascii="Calibri" w:hAnsi="Calibri" w:cs="Calibri"/>
          <w:b/>
          <w:bCs/>
          <w:color w:val="000000" w:themeColor="text1"/>
          <w:szCs w:val="24"/>
        </w:rPr>
      </w:pPr>
    </w:p>
    <w:p w14:paraId="31F1B909" w14:textId="7DEB78BA" w:rsidR="00C16A80" w:rsidRPr="00636B96" w:rsidRDefault="00E05A27" w:rsidP="00636B96">
      <w:pPr>
        <w:spacing w:line="264" w:lineRule="auto"/>
        <w:rPr>
          <w:rFonts w:ascii="Calibri" w:hAnsi="Calibri" w:cs="Calibri"/>
          <w:b/>
          <w:bCs/>
          <w:color w:val="000000" w:themeColor="text1"/>
          <w:szCs w:val="24"/>
        </w:rPr>
      </w:pPr>
      <w:r w:rsidRPr="00636B96">
        <w:rPr>
          <w:rFonts w:ascii="Calibri" w:hAnsi="Calibri" w:cs="Calibri"/>
          <w:b/>
          <w:bCs/>
          <w:color w:val="000000" w:themeColor="text1"/>
          <w:szCs w:val="24"/>
        </w:rPr>
        <w:t>PROCEDURES:</w:t>
      </w:r>
    </w:p>
    <w:p w14:paraId="7FE3705A" w14:textId="77777777" w:rsidR="00657378" w:rsidRPr="00636B96" w:rsidRDefault="00657378" w:rsidP="00636B96">
      <w:pPr>
        <w:spacing w:line="264" w:lineRule="auto"/>
        <w:rPr>
          <w:rFonts w:ascii="Calibri" w:hAnsi="Calibri" w:cs="Calibri"/>
          <w:b/>
          <w:bCs/>
          <w:color w:val="000000" w:themeColor="text1"/>
          <w:szCs w:val="24"/>
        </w:rPr>
      </w:pPr>
    </w:p>
    <w:p w14:paraId="21544E90" w14:textId="77777777" w:rsidR="00C16A80" w:rsidRPr="00636B96" w:rsidRDefault="00C16A80" w:rsidP="00636B96">
      <w:pPr>
        <w:widowControl/>
        <w:numPr>
          <w:ilvl w:val="0"/>
          <w:numId w:val="18"/>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Eligibility Determination:</w:t>
      </w:r>
    </w:p>
    <w:p w14:paraId="3A56A372" w14:textId="77777777" w:rsidR="00C16A80" w:rsidRPr="00636B96" w:rsidRDefault="00C16A80" w:rsidP="00636B96">
      <w:pPr>
        <w:widowControl/>
        <w:numPr>
          <w:ilvl w:val="1"/>
          <w:numId w:val="18"/>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The employee’s eligibility for longevity pay will be reviewed by Human Resources at the anniversary of their hire date.</w:t>
      </w:r>
    </w:p>
    <w:p w14:paraId="28C9264B" w14:textId="77777777" w:rsidR="00C16A80" w:rsidRPr="00636B96" w:rsidRDefault="00C16A80" w:rsidP="00636B96">
      <w:pPr>
        <w:widowControl/>
        <w:numPr>
          <w:ilvl w:val="1"/>
          <w:numId w:val="18"/>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Human Resources will calculate the amount of longevity pay based on the employee's total years of service with the City.</w:t>
      </w:r>
    </w:p>
    <w:p w14:paraId="4D007E3F" w14:textId="77777777" w:rsidR="00636B96" w:rsidRPr="00636B96" w:rsidRDefault="00636B96" w:rsidP="00636B96">
      <w:pPr>
        <w:widowControl/>
        <w:spacing w:line="264" w:lineRule="auto"/>
        <w:ind w:left="720"/>
        <w:rPr>
          <w:rFonts w:ascii="Calibri" w:hAnsi="Calibri" w:cs="Calibri"/>
          <w:snapToGrid/>
          <w:color w:val="000000" w:themeColor="text1"/>
          <w:szCs w:val="24"/>
          <w14:ligatures w14:val="none"/>
        </w:rPr>
      </w:pPr>
    </w:p>
    <w:p w14:paraId="1D3AF45A" w14:textId="1275D1DB" w:rsidR="00C16A80" w:rsidRPr="00636B96" w:rsidRDefault="06E11B6D" w:rsidP="00636B96">
      <w:pPr>
        <w:widowControl/>
        <w:numPr>
          <w:ilvl w:val="0"/>
          <w:numId w:val="18"/>
        </w:numPr>
        <w:spacing w:line="264" w:lineRule="auto"/>
        <w:rPr>
          <w:rFonts w:ascii="Calibri" w:hAnsi="Calibri" w:cs="Calibri"/>
          <w:snapToGrid/>
          <w:color w:val="000000" w:themeColor="text1"/>
          <w:szCs w:val="24"/>
          <w14:ligatures w14:val="none"/>
        </w:rPr>
      </w:pPr>
      <w:r w:rsidRPr="5C62B125">
        <w:rPr>
          <w:rFonts w:ascii="Calibri" w:hAnsi="Calibri" w:cs="Calibri"/>
          <w:snapToGrid/>
          <w:color w:val="000000" w:themeColor="text1"/>
          <w14:ligatures w14:val="none"/>
        </w:rPr>
        <w:t>Payment Adjustment:</w:t>
      </w:r>
    </w:p>
    <w:p w14:paraId="70869807" w14:textId="3E9EC388" w:rsidR="267EC6FB" w:rsidRDefault="267EC6FB" w:rsidP="5C62B125">
      <w:pPr>
        <w:widowControl/>
        <w:numPr>
          <w:ilvl w:val="1"/>
          <w:numId w:val="18"/>
        </w:numPr>
        <w:spacing w:line="264" w:lineRule="auto"/>
        <w:rPr>
          <w:rFonts w:ascii="Calibri" w:hAnsi="Calibri" w:cs="Calibri"/>
          <w:color w:val="000000" w:themeColor="text1"/>
        </w:rPr>
      </w:pPr>
      <w:r w:rsidRPr="5C62B125">
        <w:rPr>
          <w:rFonts w:ascii="Calibri" w:hAnsi="Calibri" w:cs="Calibri"/>
          <w:color w:val="000000" w:themeColor="text1"/>
        </w:rPr>
        <w:t>Longevity pay will be included in the overtime rate calculation.</w:t>
      </w:r>
    </w:p>
    <w:p w14:paraId="79BCD0F2" w14:textId="77777777" w:rsidR="00C16A80" w:rsidRPr="00636B96" w:rsidRDefault="00C16A80" w:rsidP="00636B96">
      <w:pPr>
        <w:widowControl/>
        <w:numPr>
          <w:ilvl w:val="1"/>
          <w:numId w:val="18"/>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Longevity pay will be adjusted each year to reflect the employee's continued years of service. The pay amount will increase by $4.00 per month for every additional year of service until the employee reaches 25 years of service.</w:t>
      </w:r>
    </w:p>
    <w:p w14:paraId="5BA8D337" w14:textId="77777777" w:rsidR="00C16A80" w:rsidRPr="00636B96" w:rsidRDefault="00C16A80" w:rsidP="00636B96">
      <w:pPr>
        <w:widowControl/>
        <w:numPr>
          <w:ilvl w:val="1"/>
          <w:numId w:val="18"/>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Employees will receive their longevity pay along with their regular salary payment on the selected schedule.</w:t>
      </w:r>
    </w:p>
    <w:p w14:paraId="17EB271F" w14:textId="77777777" w:rsidR="00636B96" w:rsidRPr="00636B96" w:rsidRDefault="00636B96" w:rsidP="00636B96">
      <w:pPr>
        <w:widowControl/>
        <w:spacing w:line="264" w:lineRule="auto"/>
        <w:ind w:left="720"/>
        <w:rPr>
          <w:rFonts w:ascii="Calibri" w:hAnsi="Calibri" w:cs="Calibri"/>
          <w:snapToGrid/>
          <w:color w:val="000000" w:themeColor="text1"/>
          <w:szCs w:val="24"/>
          <w14:ligatures w14:val="none"/>
        </w:rPr>
      </w:pPr>
    </w:p>
    <w:p w14:paraId="76BBD632" w14:textId="26F81FDD" w:rsidR="00C16A80" w:rsidRPr="00636B96" w:rsidRDefault="00C16A80" w:rsidP="00636B96">
      <w:pPr>
        <w:widowControl/>
        <w:numPr>
          <w:ilvl w:val="0"/>
          <w:numId w:val="18"/>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Separation Procedures:</w:t>
      </w:r>
    </w:p>
    <w:p w14:paraId="71854FEB" w14:textId="77777777" w:rsidR="007302D4" w:rsidRDefault="00C16A80" w:rsidP="007302D4">
      <w:pPr>
        <w:widowControl/>
        <w:numPr>
          <w:ilvl w:val="1"/>
          <w:numId w:val="18"/>
        </w:numPr>
        <w:spacing w:line="264" w:lineRule="auto"/>
        <w:rPr>
          <w:rFonts w:ascii="Calibri" w:hAnsi="Calibri" w:cs="Calibri"/>
          <w:snapToGrid/>
          <w:color w:val="000000" w:themeColor="text1"/>
          <w:szCs w:val="24"/>
          <w14:ligatures w14:val="none"/>
        </w:rPr>
      </w:pPr>
      <w:r w:rsidRPr="00636B96">
        <w:rPr>
          <w:rFonts w:ascii="Calibri" w:hAnsi="Calibri" w:cs="Calibri"/>
          <w:snapToGrid/>
          <w:color w:val="000000" w:themeColor="text1"/>
          <w:szCs w:val="24"/>
          <w14:ligatures w14:val="none"/>
        </w:rPr>
        <w:t>If an employee separates from the City, they will not receive partial longevity pay unless otherwise required by law.</w:t>
      </w:r>
    </w:p>
    <w:p w14:paraId="210ED448" w14:textId="3D5E9BA1" w:rsidR="00AC0440" w:rsidRPr="007302D4" w:rsidRDefault="60FC7A1C" w:rsidP="007302D4">
      <w:pPr>
        <w:widowControl/>
        <w:numPr>
          <w:ilvl w:val="1"/>
          <w:numId w:val="18"/>
        </w:numPr>
        <w:spacing w:line="264" w:lineRule="auto"/>
        <w:rPr>
          <w:rFonts w:ascii="Calibri" w:hAnsi="Calibri" w:cs="Calibri"/>
          <w:snapToGrid/>
          <w:color w:val="000000" w:themeColor="text1"/>
          <w:szCs w:val="24"/>
          <w14:ligatures w14:val="none"/>
        </w:rPr>
      </w:pPr>
      <w:r w:rsidRPr="007302D4">
        <w:rPr>
          <w:rFonts w:ascii="Calibri" w:hAnsi="Calibri" w:cs="Calibri"/>
          <w:snapToGrid/>
          <w:color w:val="000000" w:themeColor="text1"/>
          <w14:ligatures w14:val="none"/>
        </w:rPr>
        <w:t>Payroll will ensure that any outstanding longevity pay is settled during the final paycheck, based on the employee's tenure</w:t>
      </w:r>
      <w:r w:rsidR="0BB1F6A1" w:rsidRPr="007302D4">
        <w:rPr>
          <w:rFonts w:ascii="Calibri" w:hAnsi="Calibri" w:cs="Calibri"/>
          <w:snapToGrid/>
          <w:color w:val="000000" w:themeColor="text1"/>
          <w14:ligatures w14:val="none"/>
        </w:rPr>
        <w:t>,</w:t>
      </w:r>
      <w:r w:rsidR="7195D43D" w:rsidRPr="007302D4">
        <w:rPr>
          <w:rFonts w:ascii="Calibri" w:hAnsi="Calibri" w:cs="Calibri"/>
          <w:snapToGrid/>
          <w:color w:val="000000" w:themeColor="text1"/>
          <w14:ligatures w14:val="none"/>
        </w:rPr>
        <w:t xml:space="preserve"> </w:t>
      </w:r>
      <w:r w:rsidRPr="007302D4">
        <w:rPr>
          <w:rFonts w:ascii="Calibri" w:hAnsi="Calibri" w:cs="Calibri"/>
          <w:snapToGrid/>
          <w:color w:val="000000" w:themeColor="text1"/>
          <w14:ligatures w14:val="none"/>
        </w:rPr>
        <w:t xml:space="preserve">payment </w:t>
      </w:r>
      <w:r w:rsidR="427D6EB6" w:rsidRPr="007302D4">
        <w:rPr>
          <w:rFonts w:ascii="Calibri" w:hAnsi="Calibri" w:cs="Calibri"/>
          <w:snapToGrid/>
          <w:color w:val="000000" w:themeColor="text1"/>
          <w14:ligatures w14:val="none"/>
        </w:rPr>
        <w:t>frequency</w:t>
      </w:r>
      <w:r w:rsidR="5E967CF6" w:rsidRPr="007302D4">
        <w:rPr>
          <w:rFonts w:ascii="Calibri" w:hAnsi="Calibri" w:cs="Calibri"/>
          <w:snapToGrid/>
          <w:color w:val="000000" w:themeColor="text1"/>
          <w14:ligatures w14:val="none"/>
        </w:rPr>
        <w:t xml:space="preserve">, and legal </w:t>
      </w:r>
      <w:r w:rsidR="5BCA0768" w:rsidRPr="007302D4">
        <w:rPr>
          <w:rFonts w:ascii="Calibri" w:hAnsi="Calibri" w:cs="Calibri"/>
          <w:snapToGrid/>
          <w:color w:val="000000" w:themeColor="text1"/>
          <w14:ligatures w14:val="none"/>
        </w:rPr>
        <w:t>requirement.</w:t>
      </w:r>
    </w:p>
    <w:sectPr w:rsidR="00AC0440" w:rsidRPr="00730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564"/>
    <w:multiLevelType w:val="hybridMultilevel"/>
    <w:tmpl w:val="43E89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54362"/>
    <w:multiLevelType w:val="hybridMultilevel"/>
    <w:tmpl w:val="94A04D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624A"/>
    <w:multiLevelType w:val="hybridMultilevel"/>
    <w:tmpl w:val="94C6F09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5D4806"/>
    <w:multiLevelType w:val="hybridMultilevel"/>
    <w:tmpl w:val="82E61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B7946"/>
    <w:multiLevelType w:val="multilevel"/>
    <w:tmpl w:val="5B2ABB12"/>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F6D8D"/>
    <w:multiLevelType w:val="hybridMultilevel"/>
    <w:tmpl w:val="DA765B4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C53799B"/>
    <w:multiLevelType w:val="hybridMultilevel"/>
    <w:tmpl w:val="5D4A6B7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E74BE"/>
    <w:multiLevelType w:val="multilevel"/>
    <w:tmpl w:val="EBC8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513D3"/>
    <w:multiLevelType w:val="multilevel"/>
    <w:tmpl w:val="67C0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D3031"/>
    <w:multiLevelType w:val="multilevel"/>
    <w:tmpl w:val="1110E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27758"/>
    <w:multiLevelType w:val="multilevel"/>
    <w:tmpl w:val="EC66996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00F1F"/>
    <w:multiLevelType w:val="multilevel"/>
    <w:tmpl w:val="996C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3826F3"/>
    <w:multiLevelType w:val="multilevel"/>
    <w:tmpl w:val="D74AA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42505"/>
    <w:multiLevelType w:val="hybridMultilevel"/>
    <w:tmpl w:val="B5AAD3F2"/>
    <w:lvl w:ilvl="0" w:tplc="1584B58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25010"/>
    <w:multiLevelType w:val="multilevel"/>
    <w:tmpl w:val="6694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2373AF"/>
    <w:multiLevelType w:val="multilevel"/>
    <w:tmpl w:val="C02C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92448"/>
    <w:multiLevelType w:val="multilevel"/>
    <w:tmpl w:val="C944BB84"/>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915898">
    <w:abstractNumId w:val="16"/>
  </w:num>
  <w:num w:numId="2" w16cid:durableId="187184576">
    <w:abstractNumId w:val="6"/>
  </w:num>
  <w:num w:numId="3" w16cid:durableId="640768867">
    <w:abstractNumId w:val="5"/>
  </w:num>
  <w:num w:numId="4" w16cid:durableId="1883859245">
    <w:abstractNumId w:val="7"/>
  </w:num>
  <w:num w:numId="5" w16cid:durableId="385447136">
    <w:abstractNumId w:val="17"/>
  </w:num>
  <w:num w:numId="6" w16cid:durableId="854078363">
    <w:abstractNumId w:val="12"/>
  </w:num>
  <w:num w:numId="7" w16cid:durableId="798036635">
    <w:abstractNumId w:val="14"/>
  </w:num>
  <w:num w:numId="8" w16cid:durableId="711342083">
    <w:abstractNumId w:val="1"/>
  </w:num>
  <w:num w:numId="9" w16cid:durableId="461004730">
    <w:abstractNumId w:val="3"/>
  </w:num>
  <w:num w:numId="10" w16cid:durableId="42751461">
    <w:abstractNumId w:val="0"/>
  </w:num>
  <w:num w:numId="11" w16cid:durableId="2047946709">
    <w:abstractNumId w:val="2"/>
  </w:num>
  <w:num w:numId="12" w16cid:durableId="789669896">
    <w:abstractNumId w:val="15"/>
  </w:num>
  <w:num w:numId="13" w16cid:durableId="966935798">
    <w:abstractNumId w:val="9"/>
  </w:num>
  <w:num w:numId="14" w16cid:durableId="826937981">
    <w:abstractNumId w:val="11"/>
  </w:num>
  <w:num w:numId="15" w16cid:durableId="343870559">
    <w:abstractNumId w:val="18"/>
  </w:num>
  <w:num w:numId="16" w16cid:durableId="1723089632">
    <w:abstractNumId w:val="10"/>
  </w:num>
  <w:num w:numId="17" w16cid:durableId="371611354">
    <w:abstractNumId w:val="13"/>
  </w:num>
  <w:num w:numId="18" w16cid:durableId="845943302">
    <w:abstractNumId w:val="4"/>
  </w:num>
  <w:num w:numId="19" w16cid:durableId="465857181">
    <w:abstractNumId w:val="19"/>
  </w:num>
  <w:num w:numId="20" w16cid:durableId="2056346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81C38"/>
    <w:rsid w:val="000D21EC"/>
    <w:rsid w:val="001E7BB0"/>
    <w:rsid w:val="002125DE"/>
    <w:rsid w:val="00214194"/>
    <w:rsid w:val="00233F68"/>
    <w:rsid w:val="0026715E"/>
    <w:rsid w:val="00317C5D"/>
    <w:rsid w:val="00376A25"/>
    <w:rsid w:val="004816CC"/>
    <w:rsid w:val="005A673F"/>
    <w:rsid w:val="00636B96"/>
    <w:rsid w:val="00644755"/>
    <w:rsid w:val="00657378"/>
    <w:rsid w:val="0066014C"/>
    <w:rsid w:val="006A1E12"/>
    <w:rsid w:val="006A2CD9"/>
    <w:rsid w:val="007302D4"/>
    <w:rsid w:val="007B61CC"/>
    <w:rsid w:val="008B596B"/>
    <w:rsid w:val="00963669"/>
    <w:rsid w:val="00A97759"/>
    <w:rsid w:val="00AB5E1B"/>
    <w:rsid w:val="00AC0440"/>
    <w:rsid w:val="00B27CC7"/>
    <w:rsid w:val="00B5380F"/>
    <w:rsid w:val="00BE658D"/>
    <w:rsid w:val="00C16A80"/>
    <w:rsid w:val="00CA2159"/>
    <w:rsid w:val="00D30ED2"/>
    <w:rsid w:val="00D8731F"/>
    <w:rsid w:val="00D91F21"/>
    <w:rsid w:val="00E05A27"/>
    <w:rsid w:val="00E24110"/>
    <w:rsid w:val="00E272E7"/>
    <w:rsid w:val="00EC29A8"/>
    <w:rsid w:val="06E11B6D"/>
    <w:rsid w:val="0BB1F6A1"/>
    <w:rsid w:val="0D2782B1"/>
    <w:rsid w:val="13756BBD"/>
    <w:rsid w:val="150867C4"/>
    <w:rsid w:val="15919433"/>
    <w:rsid w:val="267EC6FB"/>
    <w:rsid w:val="427D6EB6"/>
    <w:rsid w:val="45136C8D"/>
    <w:rsid w:val="497FBCBA"/>
    <w:rsid w:val="56F9A5AE"/>
    <w:rsid w:val="57C4EAF4"/>
    <w:rsid w:val="5B485ECD"/>
    <w:rsid w:val="5BCA0768"/>
    <w:rsid w:val="5C62B125"/>
    <w:rsid w:val="5E967CF6"/>
    <w:rsid w:val="60010603"/>
    <w:rsid w:val="60FC7A1C"/>
    <w:rsid w:val="6B5E8D36"/>
    <w:rsid w:val="705A8067"/>
    <w:rsid w:val="7195D43D"/>
    <w:rsid w:val="7C69B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styleId="BodyText">
    <w:name w:val="Body Text"/>
    <w:basedOn w:val="Normal"/>
    <w:link w:val="BodyTextChar"/>
    <w:uiPriority w:val="99"/>
    <w:unhideWhenUsed/>
    <w:rsid w:val="00AC0440"/>
    <w:pPr>
      <w:spacing w:after="120"/>
    </w:pPr>
    <w:rPr>
      <w14:ligatures w14:val="none"/>
    </w:rPr>
  </w:style>
  <w:style w:type="character" w:customStyle="1" w:styleId="BodyTextChar">
    <w:name w:val="Body Text Char"/>
    <w:basedOn w:val="DefaultParagraphFont"/>
    <w:link w:val="BodyText"/>
    <w:uiPriority w:val="99"/>
    <w:rsid w:val="00AC0440"/>
    <w:rPr>
      <w:rFonts w:ascii="CG Times" w:eastAsia="Times New Roman" w:hAnsi="CG Times" w:cs="Times New Roman"/>
      <w:snapToGrid w:val="0"/>
      <w:kern w:val="0"/>
      <w:sz w:val="24"/>
      <w:szCs w:val="20"/>
      <w14:ligatures w14:val="none"/>
    </w:rPr>
  </w:style>
  <w:style w:type="paragraph" w:customStyle="1" w:styleId="Default">
    <w:name w:val="Default"/>
    <w:rsid w:val="00AC0440"/>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081C38"/>
    <w:pPr>
      <w:widowControl/>
      <w:spacing w:before="100" w:beforeAutospacing="1" w:after="100" w:afterAutospacing="1"/>
    </w:pPr>
    <w:rPr>
      <w:rFonts w:ascii="Times New Roman" w:hAnsi="Times New Roman"/>
      <w:snapToGrid/>
      <w:szCs w:val="24"/>
      <w14:ligatures w14:val="none"/>
    </w:rPr>
  </w:style>
  <w:style w:type="character" w:styleId="Strong">
    <w:name w:val="Strong"/>
    <w:basedOn w:val="DefaultParagraphFont"/>
    <w:uiPriority w:val="22"/>
    <w:qFormat/>
    <w:rsid w:val="00081C38"/>
    <w:rPr>
      <w:b/>
      <w:bCs/>
    </w:rPr>
  </w:style>
  <w:style w:type="table" w:styleId="TableGrid">
    <w:name w:val="Table Grid"/>
    <w:basedOn w:val="TableNormal"/>
    <w:uiPriority w:val="39"/>
    <w:rsid w:val="00C16A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eastAsia="Times New Roman" w:hAnsi="CG Times" w:cs="Times New Roman"/>
      <w:snapToGrid w:val="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25DE"/>
    <w:pPr>
      <w:spacing w:after="0" w:line="240" w:lineRule="auto"/>
    </w:pPr>
    <w:rPr>
      <w:rFonts w:ascii="CG Times" w:eastAsia="Times New Roman" w:hAnsi="CG Times" w:cs="Times New Roman"/>
      <w:snapToGrid w:val="0"/>
      <w:kern w:val="0"/>
      <w:sz w:val="24"/>
      <w:szCs w:val="20"/>
    </w:rPr>
  </w:style>
  <w:style w:type="paragraph" w:styleId="CommentSubject">
    <w:name w:val="annotation subject"/>
    <w:basedOn w:val="CommentText"/>
    <w:next w:val="CommentText"/>
    <w:link w:val="CommentSubjectChar"/>
    <w:uiPriority w:val="99"/>
    <w:semiHidden/>
    <w:unhideWhenUsed/>
    <w:rsid w:val="002125DE"/>
    <w:rPr>
      <w:b/>
      <w:bCs/>
    </w:rPr>
  </w:style>
  <w:style w:type="character" w:customStyle="1" w:styleId="CommentSubjectChar">
    <w:name w:val="Comment Subject Char"/>
    <w:basedOn w:val="CommentTextChar"/>
    <w:link w:val="CommentSubject"/>
    <w:uiPriority w:val="99"/>
    <w:semiHidden/>
    <w:rsid w:val="002125DE"/>
    <w:rPr>
      <w:rFonts w:ascii="CG Times" w:eastAsia="Times New Roman" w:hAnsi="CG Times" w:cs="Times New Roman"/>
      <w:b/>
      <w:bCs/>
      <w:snapToGrid w:val="0"/>
      <w:kern w:val="0"/>
      <w:sz w:val="20"/>
      <w:szCs w:val="20"/>
    </w:rPr>
  </w:style>
  <w:style w:type="character" w:styleId="Mention">
    <w:name w:val="Mention"/>
    <w:basedOn w:val="DefaultParagraphFont"/>
    <w:uiPriority w:val="99"/>
    <w:unhideWhenUsed/>
    <w:rsid w:val="002125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283972401">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698166579">
      <w:bodyDiv w:val="1"/>
      <w:marLeft w:val="0"/>
      <w:marRight w:val="0"/>
      <w:marTop w:val="0"/>
      <w:marBottom w:val="0"/>
      <w:divBdr>
        <w:top w:val="none" w:sz="0" w:space="0" w:color="auto"/>
        <w:left w:val="none" w:sz="0" w:space="0" w:color="auto"/>
        <w:bottom w:val="none" w:sz="0" w:space="0" w:color="auto"/>
        <w:right w:val="none" w:sz="0" w:space="0" w:color="auto"/>
      </w:divBdr>
    </w:div>
    <w:div w:id="1057163338">
      <w:bodyDiv w:val="1"/>
      <w:marLeft w:val="0"/>
      <w:marRight w:val="0"/>
      <w:marTop w:val="0"/>
      <w:marBottom w:val="0"/>
      <w:divBdr>
        <w:top w:val="none" w:sz="0" w:space="0" w:color="auto"/>
        <w:left w:val="none" w:sz="0" w:space="0" w:color="auto"/>
        <w:bottom w:val="none" w:sz="0" w:space="0" w:color="auto"/>
        <w:right w:val="none" w:sz="0" w:space="0" w:color="auto"/>
      </w:divBdr>
    </w:div>
    <w:div w:id="1204027678">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C83AAE-19C1-4571-ABE5-152E00DADAB2}">
  <ds:schemaRefs>
    <ds:schemaRef ds:uri="http://schemas.openxmlformats.org/officeDocument/2006/bibliography"/>
  </ds:schemaRefs>
</ds:datastoreItem>
</file>

<file path=customXml/itemProps2.xml><?xml version="1.0" encoding="utf-8"?>
<ds:datastoreItem xmlns:ds="http://schemas.openxmlformats.org/officeDocument/2006/customXml" ds:itemID="{428B9931-5498-4378-B418-8B18312C019E}"/>
</file>

<file path=customXml/itemProps3.xml><?xml version="1.0" encoding="utf-8"?>
<ds:datastoreItem xmlns:ds="http://schemas.openxmlformats.org/officeDocument/2006/customXml" ds:itemID="{24B966C2-3CC9-46D2-8548-6F21A9A8A2A8}">
  <ds:schemaRefs>
    <ds:schemaRef ds:uri="http://schemas.microsoft.com/sharepoint/v3/contenttype/forms"/>
  </ds:schemaRefs>
</ds:datastoreItem>
</file>

<file path=customXml/itemProps4.xml><?xml version="1.0" encoding="utf-8"?>
<ds:datastoreItem xmlns:ds="http://schemas.openxmlformats.org/officeDocument/2006/customXml" ds:itemID="{4CA414B7-D5C4-4140-BD2D-DEAA9038AE59}">
  <ds:schemaRefs>
    <ds:schemaRef ds:uri="740bd92d-f8e2-4676-9dca-7b44cfe5872f"/>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15</cp:revision>
  <dcterms:created xsi:type="dcterms:W3CDTF">2025-04-03T20:00:00Z</dcterms:created>
  <dcterms:modified xsi:type="dcterms:W3CDTF">2025-08-12T04:30:00Z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2025-04-16T19:36:48Z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0c1aae77-30ce-4bba-8261-fc76a5550be7</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