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3A20" w:rsidR="005D4413" w:rsidP="00383A20" w:rsidRDefault="005D4413" w14:paraId="50BDB568" w14:textId="06D25422">
      <w:pPr>
        <w:widowControl/>
        <w:shd w:val="clear" w:color="auto" w:fill="FFFFFF"/>
        <w:spacing w:line="264" w:lineRule="auto"/>
        <w:jc w:val="center"/>
        <w:rPr>
          <w:rFonts w:ascii="Calibri" w:hAnsi="Calibri" w:eastAsia="Yu Gothic Light" w:cs="Calibri"/>
          <w:b/>
          <w:bCs/>
          <w:snapToGrid/>
          <w:color w:val="000000" w:themeColor="text1"/>
          <w:szCs w:val="24"/>
          <w14:ligatures w14:val="none"/>
        </w:rPr>
      </w:pPr>
      <w:r w:rsidRPr="00383A20">
        <w:rPr>
          <w:rFonts w:ascii="Calibri" w:hAnsi="Calibri" w:eastAsia="Yu Gothic Light" w:cs="Calibri"/>
          <w:b/>
          <w:bCs/>
          <w:snapToGrid/>
          <w:color w:val="000000" w:themeColor="text1"/>
          <w:szCs w:val="24"/>
          <w14:ligatures w14:val="none"/>
        </w:rPr>
        <w:t>SECTION:</w:t>
      </w:r>
      <w:r w:rsidRPr="00383A20" w:rsidR="00416FE2">
        <w:rPr>
          <w:rFonts w:ascii="Calibri" w:hAnsi="Calibri" w:eastAsia="Yu Gothic Light" w:cs="Calibri"/>
          <w:b/>
          <w:bCs/>
          <w:snapToGrid/>
          <w:color w:val="000000" w:themeColor="text1"/>
          <w:szCs w:val="24"/>
          <w14:ligatures w14:val="none"/>
        </w:rPr>
        <w:t xml:space="preserve"> EMPLOYMENT INFORMATION</w:t>
      </w:r>
    </w:p>
    <w:p w:rsidRPr="00383A20" w:rsidR="001510A8" w:rsidP="00383A20" w:rsidRDefault="001510A8" w14:paraId="1294568F" w14:textId="77777777">
      <w:pPr>
        <w:widowControl/>
        <w:shd w:val="clear" w:color="auto" w:fill="FFFFFF"/>
        <w:spacing w:line="264" w:lineRule="auto"/>
        <w:jc w:val="center"/>
        <w:rPr>
          <w:rFonts w:ascii="Calibri" w:hAnsi="Calibri" w:eastAsia="Yu Gothic Light" w:cs="Calibri"/>
          <w:b/>
          <w:bCs/>
          <w:snapToGrid/>
          <w:color w:val="000000" w:themeColor="text1"/>
          <w:szCs w:val="24"/>
          <w14:ligatures w14:val="none"/>
        </w:rPr>
      </w:pPr>
    </w:p>
    <w:p w:rsidR="00E861E7" w:rsidP="2EF84C3E" w:rsidRDefault="005D4413" w14:paraId="3ABA36BF" w14:textId="69E6DE91">
      <w:pPr>
        <w:widowControl/>
        <w:shd w:val="clear" w:color="auto" w:fill="FFFFFF" w:themeFill="background1"/>
        <w:tabs>
          <w:tab w:val="left" w:pos="5040"/>
        </w:tabs>
        <w:spacing w:line="264" w:lineRule="auto"/>
        <w:rPr>
          <w:rFonts w:ascii="Calibri" w:hAnsi="Calibri" w:eastAsia="Yu Gothic Light" w:cs="Calibri"/>
          <w:snapToGrid/>
          <w:color w:val="000000" w:themeColor="text1"/>
          <w14:ligatures w14:val="none"/>
        </w:rPr>
      </w:pPr>
      <w:r w:rsidRPr="2EF84C3E">
        <w:rPr>
          <w:rFonts w:ascii="Calibri" w:hAnsi="Calibri" w:eastAsia="Yu Gothic Light" w:cs="Calibri"/>
          <w:b/>
          <w:bCs/>
          <w:snapToGrid/>
          <w:color w:val="000000" w:themeColor="text1"/>
          <w14:ligatures w14:val="none"/>
        </w:rPr>
        <w:t xml:space="preserve">POLICY: </w:t>
      </w:r>
      <w:r w:rsidRPr="2EF84C3E">
        <w:rPr>
          <w:rFonts w:ascii="Calibri" w:hAnsi="Calibri" w:eastAsia="Yu Gothic Light" w:cs="Calibri"/>
          <w:snapToGrid/>
          <w:color w:val="000000" w:themeColor="text1"/>
          <w14:ligatures w14:val="none"/>
        </w:rPr>
        <w:t>Introductory Period</w:t>
      </w:r>
      <w:r w:rsidRPr="00383A20" w:rsidR="001510A8">
        <w:rPr>
          <w:rFonts w:ascii="Calibri" w:hAnsi="Calibri" w:eastAsia="Yu Gothic Light" w:cs="Calibri"/>
          <w:snapToGrid/>
          <w:color w:val="000000" w:themeColor="text1"/>
          <w:szCs w:val="24"/>
          <w14:ligatures w14:val="none"/>
        </w:rPr>
        <w:tab/>
      </w:r>
      <w:r w:rsidRPr="2EF84C3E">
        <w:rPr>
          <w:rFonts w:ascii="Calibri" w:hAnsi="Calibri" w:eastAsia="Yu Gothic Light" w:cs="Calibri"/>
          <w:b/>
          <w:bCs/>
          <w:snapToGrid/>
          <w:color w:val="000000" w:themeColor="text1"/>
          <w14:ligatures w14:val="none"/>
        </w:rPr>
        <w:t xml:space="preserve">EFFECTIVE DATE: </w:t>
      </w:r>
      <w:r w:rsidRPr="2EF84C3E" w:rsidR="001510A8">
        <w:rPr>
          <w:rFonts w:ascii="Calibri" w:hAnsi="Calibri" w:eastAsia="Yu Gothic Light" w:cs="Calibri"/>
          <w:snapToGrid/>
          <w:color w:val="000000" w:themeColor="text1"/>
          <w14:ligatures w14:val="none"/>
        </w:rPr>
        <w:t xml:space="preserve">insert </w:t>
      </w:r>
      <w:r w:rsidRPr="2EF84C3E">
        <w:rPr>
          <w:rFonts w:ascii="Calibri" w:hAnsi="Calibri" w:eastAsia="Yu Gothic Light" w:cs="Calibri"/>
          <w:snapToGrid/>
          <w:color w:val="000000" w:themeColor="text1"/>
          <w14:ligatures w14:val="none"/>
        </w:rPr>
        <w:t>date adopted</w:t>
      </w:r>
    </w:p>
    <w:p w:rsidRPr="00383A20" w:rsidR="00A323C1" w:rsidP="2EF84C3E" w:rsidRDefault="00A323C1" w14:paraId="4778674F" w14:textId="492D1AE6">
      <w:pPr>
        <w:widowControl/>
        <w:shd w:val="clear" w:color="auto" w:fill="FFFFFF" w:themeFill="background1"/>
        <w:tabs>
          <w:tab w:val="left" w:pos="5040"/>
        </w:tabs>
        <w:spacing w:line="264" w:lineRule="auto"/>
        <w:rPr>
          <w:rFonts w:ascii="Calibri" w:hAnsi="Calibri" w:eastAsia="Yu Gothic Light" w:cs="Calibri"/>
          <w:snapToGrid/>
          <w:color w:val="000000" w:themeColor="text1"/>
          <w14:ligatures w14:val="none"/>
        </w:rPr>
      </w:pPr>
      <w:r>
        <w:rPr>
          <w:rFonts w:ascii="Calibri" w:hAnsi="Calibri" w:eastAsia="Yu Gothic Light" w:cs="Calibri"/>
          <w:snapToGrid/>
          <w:color w:val="000000" w:themeColor="text1"/>
          <w14:ligatures w14:val="none"/>
        </w:rPr>
        <w:t xml:space="preserve">                (Non-Civil Service)</w:t>
      </w:r>
    </w:p>
    <w:p w:rsidRPr="00383A20" w:rsidR="001510A8" w:rsidP="00383A20" w:rsidRDefault="001510A8" w14:paraId="5730D951" w14:textId="77777777">
      <w:pPr>
        <w:widowControl/>
        <w:shd w:val="clear" w:color="auto" w:fill="FFFFFF"/>
        <w:tabs>
          <w:tab w:val="left" w:pos="5040"/>
        </w:tabs>
        <w:spacing w:line="264" w:lineRule="auto"/>
        <w:rPr>
          <w:rFonts w:ascii="Calibri" w:hAnsi="Calibri" w:eastAsia="Yu Gothic Light" w:cs="Calibri"/>
          <w:snapToGrid/>
          <w:color w:val="000000" w:themeColor="text1"/>
          <w:szCs w:val="24"/>
          <w14:ligatures w14:val="none"/>
        </w:rPr>
      </w:pPr>
    </w:p>
    <w:p w:rsidRPr="00383A20" w:rsidR="00556959" w:rsidP="00383A20" w:rsidRDefault="00556959" w14:paraId="0A65DFF9" w14:textId="77777777">
      <w:pPr>
        <w:spacing w:line="264" w:lineRule="auto"/>
        <w:rPr>
          <w:rFonts w:ascii="Calibri" w:hAnsi="Calibri" w:eastAsia="Yu Gothic Light" w:cs="Calibri"/>
          <w:snapToGrid/>
          <w:color w:val="000000" w:themeColor="text1"/>
          <w:szCs w:val="24"/>
        </w:rPr>
      </w:pPr>
    </w:p>
    <w:p w:rsidRPr="00383A20" w:rsidR="00B46528" w:rsidP="00383A20" w:rsidRDefault="005D4413" w14:paraId="618D0F87" w14:textId="4DA01819">
      <w:pPr>
        <w:spacing w:line="264" w:lineRule="auto"/>
        <w:rPr>
          <w:rFonts w:ascii="Calibri" w:hAnsi="Calibri" w:cs="Calibri"/>
          <w:b/>
          <w:bCs/>
          <w:color w:val="000000" w:themeColor="text1"/>
          <w:szCs w:val="24"/>
        </w:rPr>
      </w:pPr>
      <w:r w:rsidRPr="00383A20">
        <w:rPr>
          <w:rFonts w:ascii="Calibri" w:hAnsi="Calibri" w:cs="Calibri"/>
          <w:b/>
          <w:bCs/>
          <w:color w:val="000000" w:themeColor="text1"/>
          <w:szCs w:val="24"/>
        </w:rPr>
        <w:t>STATEMENT OF PURPOSE:</w:t>
      </w:r>
    </w:p>
    <w:p w:rsidRPr="00383A20" w:rsidR="00556959" w:rsidP="00383A20" w:rsidRDefault="00556959" w14:paraId="0DABCBDB" w14:textId="77777777">
      <w:pPr>
        <w:spacing w:line="264" w:lineRule="auto"/>
        <w:rPr>
          <w:rFonts w:ascii="Calibri" w:hAnsi="Calibri" w:cs="Calibri"/>
          <w:snapToGrid/>
          <w:color w:val="000000" w:themeColor="text1"/>
          <w:szCs w:val="24"/>
        </w:rPr>
      </w:pPr>
    </w:p>
    <w:p w:rsidRPr="00383A20" w:rsidR="00B46528" w:rsidP="00383A20" w:rsidRDefault="00B46528" w14:paraId="7B99A6AD" w14:textId="77777777">
      <w:pPr>
        <w:widowControl/>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 xml:space="preserve">The purpose of this policy is to establish a structured introductory period for newly hired, rehired, transferred, demoted, or promoted employees who are not classified under civil service. This period allows both the </w:t>
      </w:r>
      <w:proofErr w:type="gramStart"/>
      <w:r w:rsidRPr="00383A20">
        <w:rPr>
          <w:rFonts w:ascii="Calibri" w:hAnsi="Calibri" w:cs="Calibri"/>
          <w:snapToGrid/>
          <w:color w:val="000000" w:themeColor="text1"/>
          <w:szCs w:val="24"/>
          <w14:ligatures w14:val="none"/>
        </w:rPr>
        <w:t>employee</w:t>
      </w:r>
      <w:proofErr w:type="gramEnd"/>
      <w:r w:rsidRPr="00383A20">
        <w:rPr>
          <w:rFonts w:ascii="Calibri" w:hAnsi="Calibri" w:cs="Calibri"/>
          <w:snapToGrid/>
          <w:color w:val="000000" w:themeColor="text1"/>
          <w:szCs w:val="24"/>
          <w14:ligatures w14:val="none"/>
        </w:rPr>
        <w:t xml:space="preserve"> and the City to assess job performance, satisfaction, and suitability for continued employment.</w:t>
      </w:r>
    </w:p>
    <w:p w:rsidRPr="00383A20" w:rsidR="009F18A4" w:rsidP="00383A20" w:rsidRDefault="009F18A4" w14:paraId="0B2D2E19" w14:textId="77777777">
      <w:pPr>
        <w:spacing w:line="264" w:lineRule="auto"/>
        <w:rPr>
          <w:rFonts w:ascii="Calibri" w:hAnsi="Calibri" w:cs="Calibri"/>
          <w:snapToGrid/>
          <w:color w:val="000000" w:themeColor="text1"/>
          <w:szCs w:val="24"/>
        </w:rPr>
      </w:pPr>
    </w:p>
    <w:p w:rsidRPr="00383A20" w:rsidR="00B46528" w:rsidP="00383A20" w:rsidRDefault="005D4413" w14:paraId="075E73FC" w14:textId="2075349E">
      <w:pPr>
        <w:spacing w:line="264" w:lineRule="auto"/>
        <w:rPr>
          <w:rFonts w:ascii="Calibri" w:hAnsi="Calibri" w:cs="Calibri"/>
          <w:b/>
          <w:bCs/>
          <w:color w:val="000000" w:themeColor="text1"/>
          <w:szCs w:val="24"/>
        </w:rPr>
      </w:pPr>
      <w:r w:rsidRPr="00383A20">
        <w:rPr>
          <w:rFonts w:ascii="Calibri" w:hAnsi="Calibri" w:cs="Calibri"/>
          <w:b/>
          <w:bCs/>
          <w:color w:val="000000" w:themeColor="text1"/>
          <w:szCs w:val="24"/>
        </w:rPr>
        <w:t>DEFINITIONS:</w:t>
      </w:r>
    </w:p>
    <w:p w:rsidRPr="00383A20" w:rsidR="009F18A4" w:rsidP="00383A20" w:rsidRDefault="009F18A4" w14:paraId="350D1CB0" w14:textId="77777777">
      <w:pPr>
        <w:spacing w:line="264" w:lineRule="auto"/>
        <w:rPr>
          <w:rFonts w:ascii="Calibri" w:hAnsi="Calibri" w:cs="Calibri"/>
          <w:b/>
          <w:bCs/>
          <w:color w:val="000000" w:themeColor="text1"/>
          <w:szCs w:val="24"/>
        </w:rPr>
      </w:pPr>
    </w:p>
    <w:p w:rsidRPr="00383A20" w:rsidR="00B46528" w:rsidP="00383A20" w:rsidRDefault="00B46528" w14:paraId="4D944451" w14:textId="77777777">
      <w:pPr>
        <w:widowControl/>
        <w:numPr>
          <w:ilvl w:val="0"/>
          <w:numId w:val="11"/>
        </w:numPr>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Introductory Period: A designated period of six (6) months during which the performance and suitability of an employee are evaluated.</w:t>
      </w:r>
    </w:p>
    <w:p w:rsidRPr="00383A20" w:rsidR="00307AC6" w:rsidP="00383A20" w:rsidRDefault="00307AC6" w14:paraId="685C394E" w14:textId="77777777">
      <w:pPr>
        <w:widowControl/>
        <w:spacing w:line="264" w:lineRule="auto"/>
        <w:ind w:left="720"/>
        <w:rPr>
          <w:rFonts w:ascii="Calibri" w:hAnsi="Calibri" w:cs="Calibri"/>
          <w:snapToGrid/>
          <w:color w:val="000000" w:themeColor="text1"/>
          <w:szCs w:val="24"/>
          <w14:ligatures w14:val="none"/>
        </w:rPr>
      </w:pPr>
    </w:p>
    <w:p w:rsidRPr="00383A20" w:rsidR="00B46528" w:rsidP="00383A20" w:rsidRDefault="00B46528" w14:paraId="4C0DB2FD" w14:textId="7A2B40A7">
      <w:pPr>
        <w:widowControl/>
        <w:numPr>
          <w:ilvl w:val="0"/>
          <w:numId w:val="11"/>
        </w:numPr>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Newly Hired Employee: An individual hired into City employment for the first time or after a break in service.</w:t>
      </w:r>
    </w:p>
    <w:p w:rsidRPr="00383A20" w:rsidR="00307AC6" w:rsidP="00383A20" w:rsidRDefault="00307AC6" w14:paraId="2A38B67F" w14:textId="77777777">
      <w:pPr>
        <w:widowControl/>
        <w:spacing w:line="264" w:lineRule="auto"/>
        <w:ind w:left="720"/>
        <w:rPr>
          <w:rFonts w:ascii="Calibri" w:hAnsi="Calibri" w:cs="Calibri"/>
          <w:snapToGrid/>
          <w:color w:val="000000" w:themeColor="text1"/>
          <w:szCs w:val="24"/>
          <w14:ligatures w14:val="none"/>
        </w:rPr>
      </w:pPr>
    </w:p>
    <w:p w:rsidRPr="00383A20" w:rsidR="00B46528" w:rsidP="00383A20" w:rsidRDefault="00B46528" w14:paraId="44986C67" w14:textId="350F623E">
      <w:pPr>
        <w:widowControl/>
        <w:numPr>
          <w:ilvl w:val="0"/>
          <w:numId w:val="11"/>
        </w:numPr>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Rehired Employee: A former employee who is re-employed by the City.</w:t>
      </w:r>
    </w:p>
    <w:p w:rsidRPr="00383A20" w:rsidR="00307AC6" w:rsidP="00383A20" w:rsidRDefault="00307AC6" w14:paraId="7E6E3E5F" w14:textId="77777777">
      <w:pPr>
        <w:widowControl/>
        <w:spacing w:line="264" w:lineRule="auto"/>
        <w:ind w:left="720"/>
        <w:rPr>
          <w:rFonts w:ascii="Calibri" w:hAnsi="Calibri" w:cs="Calibri"/>
          <w:snapToGrid/>
          <w:color w:val="000000" w:themeColor="text1"/>
          <w:szCs w:val="24"/>
          <w14:ligatures w14:val="none"/>
        </w:rPr>
      </w:pPr>
    </w:p>
    <w:p w:rsidRPr="00383A20" w:rsidR="00B46528" w:rsidP="00383A20" w:rsidRDefault="00B46528" w14:paraId="268372C0" w14:textId="5CBDF509">
      <w:pPr>
        <w:widowControl/>
        <w:numPr>
          <w:ilvl w:val="0"/>
          <w:numId w:val="11"/>
        </w:numPr>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Transferred Employee: An existing employee reassigned to a different position within the City.</w:t>
      </w:r>
    </w:p>
    <w:p w:rsidRPr="00383A20" w:rsidR="00307AC6" w:rsidP="00383A20" w:rsidRDefault="00307AC6" w14:paraId="6766CDF4" w14:textId="77777777">
      <w:pPr>
        <w:widowControl/>
        <w:spacing w:line="264" w:lineRule="auto"/>
        <w:ind w:left="720"/>
        <w:rPr>
          <w:rFonts w:ascii="Calibri" w:hAnsi="Calibri" w:cs="Calibri"/>
          <w:snapToGrid/>
          <w:color w:val="000000" w:themeColor="text1"/>
          <w:szCs w:val="24"/>
          <w14:ligatures w14:val="none"/>
        </w:rPr>
      </w:pPr>
    </w:p>
    <w:p w:rsidRPr="00383A20" w:rsidR="00B46528" w:rsidP="00383A20" w:rsidRDefault="00B46528" w14:paraId="1BD60698" w14:textId="665BB620">
      <w:pPr>
        <w:widowControl/>
        <w:numPr>
          <w:ilvl w:val="0"/>
          <w:numId w:val="11"/>
        </w:numPr>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Demoted Employee: An employee reassigned to a position of lower rank or pay.</w:t>
      </w:r>
    </w:p>
    <w:p w:rsidRPr="00383A20" w:rsidR="00307AC6" w:rsidP="00383A20" w:rsidRDefault="00307AC6" w14:paraId="5B1DC900" w14:textId="77777777">
      <w:pPr>
        <w:widowControl/>
        <w:spacing w:line="264" w:lineRule="auto"/>
        <w:ind w:left="720"/>
        <w:rPr>
          <w:rFonts w:ascii="Calibri" w:hAnsi="Calibri" w:cs="Calibri"/>
          <w:snapToGrid/>
          <w:color w:val="000000" w:themeColor="text1"/>
          <w:szCs w:val="24"/>
          <w14:ligatures w14:val="none"/>
        </w:rPr>
      </w:pPr>
    </w:p>
    <w:p w:rsidRPr="00383A20" w:rsidR="00B46528" w:rsidP="00383A20" w:rsidRDefault="00B46528" w14:paraId="7CC7BCB2" w14:textId="6DF7EBCB">
      <w:pPr>
        <w:widowControl/>
        <w:numPr>
          <w:ilvl w:val="0"/>
          <w:numId w:val="11"/>
        </w:numPr>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Promoted Employee: An employee moved to a position of higher responsibility or pay.</w:t>
      </w:r>
    </w:p>
    <w:p w:rsidRPr="00383A20" w:rsidR="00307AC6" w:rsidP="00383A20" w:rsidRDefault="00307AC6" w14:paraId="56376B61" w14:textId="77777777">
      <w:pPr>
        <w:widowControl/>
        <w:spacing w:line="264" w:lineRule="auto"/>
        <w:ind w:left="720"/>
        <w:rPr>
          <w:rFonts w:ascii="Calibri" w:hAnsi="Calibri" w:cs="Calibri"/>
          <w:snapToGrid/>
          <w:color w:val="000000" w:themeColor="text1"/>
          <w:szCs w:val="24"/>
          <w14:ligatures w14:val="none"/>
        </w:rPr>
      </w:pPr>
    </w:p>
    <w:p w:rsidRPr="00383A20" w:rsidR="00B46528" w:rsidP="00383A20" w:rsidRDefault="00B46528" w14:paraId="159F03CF" w14:textId="20B4E164">
      <w:pPr>
        <w:widowControl/>
        <w:numPr>
          <w:ilvl w:val="0"/>
          <w:numId w:val="11"/>
        </w:numPr>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At-Will Status: Employment that can be terminated by either the employer or employee at any time, with or without cause.</w:t>
      </w:r>
    </w:p>
    <w:p w:rsidRPr="00383A20" w:rsidR="00307AC6" w:rsidP="00383A20" w:rsidRDefault="00307AC6" w14:paraId="772534B1" w14:textId="77777777">
      <w:pPr>
        <w:widowControl/>
        <w:spacing w:line="264" w:lineRule="auto"/>
        <w:ind w:left="720"/>
        <w:rPr>
          <w:rFonts w:ascii="Calibri" w:hAnsi="Calibri" w:cs="Calibri"/>
          <w:snapToGrid/>
          <w:color w:val="000000" w:themeColor="text1"/>
          <w:szCs w:val="24"/>
          <w14:ligatures w14:val="none"/>
        </w:rPr>
      </w:pPr>
    </w:p>
    <w:p w:rsidRPr="00383A20" w:rsidR="00B46528" w:rsidP="00383A20" w:rsidRDefault="00B46528" w14:paraId="1061DB84" w14:textId="271F4EF8">
      <w:pPr>
        <w:widowControl/>
        <w:numPr>
          <w:ilvl w:val="0"/>
          <w:numId w:val="11"/>
        </w:numPr>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Involuntary Termination: Dismissal initiated by the employer due to performance or behavioral issues.</w:t>
      </w:r>
    </w:p>
    <w:p w:rsidRPr="00383A20" w:rsidR="00E3652F" w:rsidP="00383A20" w:rsidRDefault="00E3652F" w14:paraId="710B2D46" w14:textId="77777777">
      <w:pPr>
        <w:spacing w:line="264" w:lineRule="auto"/>
        <w:rPr>
          <w:rFonts w:ascii="Calibri" w:hAnsi="Calibri" w:cs="Calibri"/>
          <w:b/>
          <w:bCs/>
          <w:color w:val="000000" w:themeColor="text1"/>
          <w:szCs w:val="24"/>
        </w:rPr>
      </w:pPr>
    </w:p>
    <w:p w:rsidR="001444DB" w:rsidRDefault="001444DB" w14:paraId="2CFF13CC" w14:textId="77777777">
      <w:pPr>
        <w:widowControl/>
        <w:spacing w:after="160" w:line="259" w:lineRule="auto"/>
        <w:rPr>
          <w:rFonts w:ascii="Calibri" w:hAnsi="Calibri" w:cs="Calibri"/>
          <w:b/>
          <w:bCs/>
          <w:color w:val="000000" w:themeColor="text1"/>
          <w:szCs w:val="24"/>
        </w:rPr>
      </w:pPr>
      <w:r>
        <w:rPr>
          <w:rFonts w:ascii="Calibri" w:hAnsi="Calibri" w:cs="Calibri"/>
          <w:b/>
          <w:bCs/>
          <w:color w:val="000000" w:themeColor="text1"/>
          <w:szCs w:val="24"/>
        </w:rPr>
        <w:br w:type="page"/>
      </w:r>
    </w:p>
    <w:p w:rsidRPr="00383A20" w:rsidR="00E3652F" w:rsidP="00383A20" w:rsidRDefault="00E3652F" w14:paraId="1DE47544" w14:textId="244CAFC0">
      <w:pPr>
        <w:spacing w:line="264" w:lineRule="auto"/>
        <w:rPr>
          <w:rFonts w:ascii="Calibri" w:hAnsi="Calibri" w:cs="Calibri"/>
          <w:b/>
          <w:bCs/>
          <w:color w:val="000000" w:themeColor="text1"/>
          <w:szCs w:val="24"/>
        </w:rPr>
      </w:pPr>
      <w:r w:rsidRPr="00383A20">
        <w:rPr>
          <w:rFonts w:ascii="Calibri" w:hAnsi="Calibri" w:cs="Calibri"/>
          <w:b/>
          <w:bCs/>
          <w:color w:val="000000" w:themeColor="text1"/>
          <w:szCs w:val="24"/>
        </w:rPr>
        <w:lastRenderedPageBreak/>
        <w:t>APPLICABILITY:</w:t>
      </w:r>
    </w:p>
    <w:p w:rsidR="001444DB" w:rsidP="001444DB" w:rsidRDefault="001444DB" w14:paraId="3929BF5F" w14:textId="77777777">
      <w:pPr>
        <w:widowControl/>
        <w:spacing w:line="264" w:lineRule="auto"/>
        <w:rPr>
          <w:rFonts w:ascii="Calibri" w:hAnsi="Calibri" w:cs="Calibri"/>
          <w:snapToGrid/>
          <w:color w:val="000000" w:themeColor="text1"/>
          <w:szCs w:val="24"/>
          <w14:ligatures w14:val="none"/>
        </w:rPr>
      </w:pPr>
    </w:p>
    <w:p w:rsidRPr="001444DB" w:rsidR="009F18A4" w:rsidP="001444DB" w:rsidRDefault="00E3652F" w14:paraId="0BEFEFC8" w14:textId="50A731AE">
      <w:pPr>
        <w:widowControl/>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This policy applies to all newly hired, rehired, transferred, demoted, or promoted employees within the City who are not classified under civil service. It does not apply to employees protected by civil service regulations.</w:t>
      </w:r>
    </w:p>
    <w:p w:rsidR="001444DB" w:rsidP="00383A20" w:rsidRDefault="001444DB" w14:paraId="2C2D9852" w14:textId="77777777">
      <w:pPr>
        <w:spacing w:line="264" w:lineRule="auto"/>
        <w:rPr>
          <w:rFonts w:ascii="Calibri" w:hAnsi="Calibri" w:cs="Calibri"/>
          <w:b/>
          <w:bCs/>
          <w:color w:val="000000" w:themeColor="text1"/>
          <w:szCs w:val="24"/>
        </w:rPr>
      </w:pPr>
    </w:p>
    <w:p w:rsidRPr="00383A20" w:rsidR="00B46528" w:rsidP="00383A20" w:rsidRDefault="005D4413" w14:paraId="4B7BAF6E" w14:textId="119F6D37">
      <w:pPr>
        <w:spacing w:line="264" w:lineRule="auto"/>
        <w:rPr>
          <w:rFonts w:ascii="Calibri" w:hAnsi="Calibri" w:cs="Calibri"/>
          <w:b/>
          <w:bCs/>
          <w:color w:val="000000" w:themeColor="text1"/>
          <w:szCs w:val="24"/>
        </w:rPr>
      </w:pPr>
      <w:r w:rsidRPr="00383A20">
        <w:rPr>
          <w:rFonts w:ascii="Calibri" w:hAnsi="Calibri" w:cs="Calibri"/>
          <w:b/>
          <w:bCs/>
          <w:color w:val="000000" w:themeColor="text1"/>
          <w:szCs w:val="24"/>
        </w:rPr>
        <w:t>POLICY:</w:t>
      </w:r>
    </w:p>
    <w:p w:rsidRPr="00383A20" w:rsidR="00E3652F" w:rsidP="00383A20" w:rsidRDefault="00E3652F" w14:paraId="5E16AAA9" w14:textId="77777777">
      <w:pPr>
        <w:spacing w:line="264" w:lineRule="auto"/>
        <w:rPr>
          <w:rFonts w:ascii="Calibri" w:hAnsi="Calibri" w:cs="Calibri"/>
          <w:b/>
          <w:bCs/>
          <w:color w:val="000000" w:themeColor="text1"/>
          <w:szCs w:val="24"/>
        </w:rPr>
      </w:pPr>
    </w:p>
    <w:p w:rsidRPr="00383A20" w:rsidR="006F1466" w:rsidP="00383A20" w:rsidRDefault="00B46528" w14:paraId="7D745F20" w14:textId="77777777">
      <w:pPr>
        <w:pStyle w:val="ListParagraph"/>
        <w:widowControl/>
        <w:numPr>
          <w:ilvl w:val="0"/>
          <w:numId w:val="14"/>
        </w:numPr>
        <w:spacing w:line="264" w:lineRule="auto"/>
        <w:contextualSpacing w:val="0"/>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Introductory Period Duration:</w:t>
      </w:r>
    </w:p>
    <w:p w:rsidRPr="00383A20" w:rsidR="006F1466" w:rsidP="00383A20" w:rsidRDefault="00B46528" w14:paraId="411D88F3" w14:textId="77777777">
      <w:pPr>
        <w:pStyle w:val="ListParagraph"/>
        <w:widowControl/>
        <w:numPr>
          <w:ilvl w:val="1"/>
          <w:numId w:val="14"/>
        </w:numPr>
        <w:spacing w:line="264" w:lineRule="auto"/>
        <w:contextualSpacing w:val="0"/>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All newly hired, rehired, transferred, demoted, or promoted employees who are not classified under civil service will undergo an introductory period of six (6) months. This period allows the employee and the City to assess job performance, compatibility, and continued employment.</w:t>
      </w:r>
    </w:p>
    <w:p w:rsidRPr="00383A20" w:rsidR="006F1466" w:rsidP="00383A20" w:rsidRDefault="006F1466" w14:paraId="33365A98" w14:textId="77777777">
      <w:pPr>
        <w:pStyle w:val="ListParagraph"/>
        <w:widowControl/>
        <w:spacing w:line="264" w:lineRule="auto"/>
        <w:contextualSpacing w:val="0"/>
        <w:rPr>
          <w:rFonts w:ascii="Calibri" w:hAnsi="Calibri" w:cs="Calibri"/>
          <w:snapToGrid/>
          <w:color w:val="000000" w:themeColor="text1"/>
          <w:szCs w:val="24"/>
          <w14:ligatures w14:val="none"/>
        </w:rPr>
      </w:pPr>
    </w:p>
    <w:p w:rsidRPr="00383A20" w:rsidR="006F1466" w:rsidP="00383A20" w:rsidRDefault="00B46528" w14:paraId="0E63BAA1" w14:textId="77777777">
      <w:pPr>
        <w:pStyle w:val="ListParagraph"/>
        <w:widowControl/>
        <w:numPr>
          <w:ilvl w:val="0"/>
          <w:numId w:val="14"/>
        </w:numPr>
        <w:spacing w:line="264" w:lineRule="auto"/>
        <w:contextualSpacing w:val="0"/>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Performance Evaluation:</w:t>
      </w:r>
    </w:p>
    <w:p w:rsidRPr="00383A20" w:rsidR="00AE4FF3" w:rsidP="00383A20" w:rsidRDefault="00B46528" w14:paraId="6112B579" w14:textId="77777777">
      <w:pPr>
        <w:pStyle w:val="ListParagraph"/>
        <w:widowControl/>
        <w:numPr>
          <w:ilvl w:val="1"/>
          <w:numId w:val="14"/>
        </w:numPr>
        <w:spacing w:line="264" w:lineRule="auto"/>
        <w:contextualSpacing w:val="0"/>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During the introductory period, supervisors are responsible for monitoring employee performance and assessing whether job requirements are being met.</w:t>
      </w:r>
    </w:p>
    <w:p w:rsidRPr="00383A20" w:rsidR="00AE4FF3" w:rsidP="00383A20" w:rsidRDefault="00B46528" w14:paraId="5DB17C0E" w14:textId="77777777">
      <w:pPr>
        <w:pStyle w:val="ListParagraph"/>
        <w:widowControl/>
        <w:numPr>
          <w:ilvl w:val="1"/>
          <w:numId w:val="14"/>
        </w:numPr>
        <w:spacing w:line="264" w:lineRule="auto"/>
        <w:contextualSpacing w:val="0"/>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If an employee’s performance is deemed unsatisfactory, supervisors may:</w:t>
      </w:r>
    </w:p>
    <w:p w:rsidRPr="00383A20" w:rsidR="00AE4FF3" w:rsidP="00383A20" w:rsidRDefault="00B46528" w14:paraId="6CE5A2E5" w14:textId="77777777">
      <w:pPr>
        <w:pStyle w:val="ListParagraph"/>
        <w:widowControl/>
        <w:numPr>
          <w:ilvl w:val="2"/>
          <w:numId w:val="14"/>
        </w:numPr>
        <w:spacing w:line="264" w:lineRule="auto"/>
        <w:contextualSpacing w:val="0"/>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Extend the introductory period with documented justification.</w:t>
      </w:r>
    </w:p>
    <w:p w:rsidRPr="00383A20" w:rsidR="00C354CB" w:rsidP="00383A20" w:rsidRDefault="00B46528" w14:paraId="4E312DCB" w14:textId="77777777">
      <w:pPr>
        <w:pStyle w:val="ListParagraph"/>
        <w:widowControl/>
        <w:numPr>
          <w:ilvl w:val="2"/>
          <w:numId w:val="14"/>
        </w:numPr>
        <w:spacing w:line="264" w:lineRule="auto"/>
        <w:contextualSpacing w:val="0"/>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Initiate involuntary termination if the employee does not meet position standards.</w:t>
      </w:r>
    </w:p>
    <w:p w:rsidRPr="00383A20" w:rsidR="00C354CB" w:rsidP="00383A20" w:rsidRDefault="00C354CB" w14:paraId="2D2AE3F1" w14:textId="77777777">
      <w:pPr>
        <w:pStyle w:val="ListParagraph"/>
        <w:widowControl/>
        <w:spacing w:line="264" w:lineRule="auto"/>
        <w:contextualSpacing w:val="0"/>
        <w:rPr>
          <w:rFonts w:ascii="Calibri" w:hAnsi="Calibri" w:cs="Calibri"/>
          <w:snapToGrid/>
          <w:color w:val="000000" w:themeColor="text1"/>
          <w:szCs w:val="24"/>
          <w14:ligatures w14:val="none"/>
        </w:rPr>
      </w:pPr>
    </w:p>
    <w:p w:rsidRPr="00383A20" w:rsidR="00C354CB" w:rsidP="00383A20" w:rsidRDefault="00B46528" w14:paraId="46984548" w14:textId="77777777">
      <w:pPr>
        <w:pStyle w:val="ListParagraph"/>
        <w:widowControl/>
        <w:numPr>
          <w:ilvl w:val="0"/>
          <w:numId w:val="14"/>
        </w:numPr>
        <w:spacing w:line="264" w:lineRule="auto"/>
        <w:contextualSpacing w:val="0"/>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Termination Process:</w:t>
      </w:r>
    </w:p>
    <w:p w:rsidRPr="00383A20" w:rsidR="00C354CB" w:rsidP="00383A20" w:rsidRDefault="00B46528" w14:paraId="47927CAD" w14:textId="77777777">
      <w:pPr>
        <w:pStyle w:val="ListParagraph"/>
        <w:widowControl/>
        <w:numPr>
          <w:ilvl w:val="1"/>
          <w:numId w:val="14"/>
        </w:numPr>
        <w:spacing w:line="264" w:lineRule="auto"/>
        <w:contextualSpacing w:val="0"/>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Prior to terminating an introductory employee, supervisors must consult with their department director and Human Resources to review performance issues and compliance with the policy.</w:t>
      </w:r>
    </w:p>
    <w:p w:rsidRPr="00383A20" w:rsidR="00C354CB" w:rsidP="00383A20" w:rsidRDefault="00B46528" w14:paraId="3E63450F" w14:textId="77777777">
      <w:pPr>
        <w:pStyle w:val="ListParagraph"/>
        <w:widowControl/>
        <w:numPr>
          <w:ilvl w:val="1"/>
          <w:numId w:val="14"/>
        </w:numPr>
        <w:spacing w:line="264" w:lineRule="auto"/>
        <w:contextualSpacing w:val="0"/>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Employees terminated during their introductory period, whether newly hired or promoted, do not have appeal rights.</w:t>
      </w:r>
    </w:p>
    <w:p w:rsidRPr="00383A20" w:rsidR="00C354CB" w:rsidP="00383A20" w:rsidRDefault="00C354CB" w14:paraId="6CF5B885" w14:textId="77777777">
      <w:pPr>
        <w:pStyle w:val="ListParagraph"/>
        <w:widowControl/>
        <w:spacing w:line="264" w:lineRule="auto"/>
        <w:contextualSpacing w:val="0"/>
        <w:rPr>
          <w:rFonts w:ascii="Calibri" w:hAnsi="Calibri" w:cs="Calibri"/>
          <w:snapToGrid/>
          <w:color w:val="000000" w:themeColor="text1"/>
          <w:szCs w:val="24"/>
          <w14:ligatures w14:val="none"/>
        </w:rPr>
      </w:pPr>
    </w:p>
    <w:p w:rsidRPr="00383A20" w:rsidR="007A3057" w:rsidP="00383A20" w:rsidRDefault="00B46528" w14:paraId="790FDB66" w14:textId="77777777">
      <w:pPr>
        <w:pStyle w:val="ListParagraph"/>
        <w:widowControl/>
        <w:numPr>
          <w:ilvl w:val="0"/>
          <w:numId w:val="14"/>
        </w:numPr>
        <w:spacing w:line="264" w:lineRule="auto"/>
        <w:contextualSpacing w:val="0"/>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Reversion to Former Position:</w:t>
      </w:r>
    </w:p>
    <w:p w:rsidRPr="00383A20" w:rsidR="007A3057" w:rsidP="00383A20" w:rsidRDefault="00B46528" w14:paraId="3C3534B0" w14:textId="77777777">
      <w:pPr>
        <w:pStyle w:val="ListParagraph"/>
        <w:widowControl/>
        <w:numPr>
          <w:ilvl w:val="1"/>
          <w:numId w:val="14"/>
        </w:numPr>
        <w:spacing w:line="264" w:lineRule="auto"/>
        <w:contextualSpacing w:val="0"/>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Current employees who are transferred, demoted, or promoted during the introductory period may be returned to their previous positions if those positions are still available.</w:t>
      </w:r>
    </w:p>
    <w:p w:rsidRPr="00383A20" w:rsidR="007A3057" w:rsidP="00383A20" w:rsidRDefault="00B46528" w14:paraId="368238CA" w14:textId="77777777">
      <w:pPr>
        <w:pStyle w:val="ListParagraph"/>
        <w:widowControl/>
        <w:numPr>
          <w:ilvl w:val="1"/>
          <w:numId w:val="14"/>
        </w:numPr>
        <w:spacing w:line="264" w:lineRule="auto"/>
        <w:contextualSpacing w:val="0"/>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If the former position is not available, the employee may be subject to reassignment or separation from the City.</w:t>
      </w:r>
    </w:p>
    <w:p w:rsidRPr="00383A20" w:rsidR="007A3057" w:rsidP="00383A20" w:rsidRDefault="007A3057" w14:paraId="17711D12" w14:textId="77777777">
      <w:pPr>
        <w:pStyle w:val="ListParagraph"/>
        <w:widowControl/>
        <w:spacing w:line="264" w:lineRule="auto"/>
        <w:contextualSpacing w:val="0"/>
        <w:rPr>
          <w:rFonts w:ascii="Calibri" w:hAnsi="Calibri" w:cs="Calibri"/>
          <w:snapToGrid/>
          <w:color w:val="000000" w:themeColor="text1"/>
          <w:szCs w:val="24"/>
          <w14:ligatures w14:val="none"/>
        </w:rPr>
      </w:pPr>
    </w:p>
    <w:p w:rsidRPr="00383A20" w:rsidR="007A3057" w:rsidP="00383A20" w:rsidRDefault="00B46528" w14:paraId="1FDCE482" w14:textId="77777777">
      <w:pPr>
        <w:pStyle w:val="ListParagraph"/>
        <w:widowControl/>
        <w:numPr>
          <w:ilvl w:val="0"/>
          <w:numId w:val="14"/>
        </w:numPr>
        <w:spacing w:line="264" w:lineRule="auto"/>
        <w:contextualSpacing w:val="0"/>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Extension of Introductory Period:</w:t>
      </w:r>
    </w:p>
    <w:p w:rsidRPr="00383A20" w:rsidR="007A3057" w:rsidP="00383A20" w:rsidRDefault="00B46528" w14:paraId="2326713D" w14:textId="77777777">
      <w:pPr>
        <w:pStyle w:val="ListParagraph"/>
        <w:widowControl/>
        <w:numPr>
          <w:ilvl w:val="1"/>
          <w:numId w:val="14"/>
        </w:numPr>
        <w:spacing w:line="264" w:lineRule="auto"/>
        <w:contextualSpacing w:val="0"/>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If additional time is required to assess an employee’s performance, the department director may request an extension in writing to Human Resources.</w:t>
      </w:r>
    </w:p>
    <w:p w:rsidRPr="00383A20" w:rsidR="007A3057" w:rsidP="2AE52F9D" w:rsidRDefault="00B46528" w14:paraId="476D61B3" w14:textId="18105C7B">
      <w:pPr>
        <w:pStyle w:val="ListParagraph"/>
        <w:widowControl/>
        <w:numPr>
          <w:ilvl w:val="1"/>
          <w:numId w:val="14"/>
        </w:numPr>
        <w:spacing w:line="264" w:lineRule="auto"/>
        <w:rPr>
          <w:rFonts w:ascii="Calibri" w:hAnsi="Calibri" w:cs="Calibri"/>
          <w:snapToGrid/>
          <w:color w:val="000000" w:themeColor="text1"/>
          <w14:ligatures w14:val="none"/>
        </w:rPr>
      </w:pPr>
      <w:r w:rsidRPr="2AE52F9D">
        <w:rPr>
          <w:rFonts w:ascii="Calibri" w:hAnsi="Calibri" w:cs="Calibri"/>
          <w:snapToGrid/>
          <w:color w:val="000000" w:themeColor="text1"/>
          <w14:ligatures w14:val="none"/>
        </w:rPr>
        <w:lastRenderedPageBreak/>
        <w:t>The request must clearly document the reasons why the extension is necessary</w:t>
      </w:r>
      <w:r w:rsidRPr="2AE52F9D" w:rsidR="71A9A3BF">
        <w:rPr>
          <w:rFonts w:ascii="Calibri" w:hAnsi="Calibri" w:cs="Calibri"/>
          <w:snapToGrid/>
          <w:color w:val="000000" w:themeColor="text1"/>
          <w14:ligatures w14:val="none"/>
        </w:rPr>
        <w:t xml:space="preserve"> and the length of the extension</w:t>
      </w:r>
      <w:r w:rsidRPr="2AE52F9D">
        <w:rPr>
          <w:rFonts w:ascii="Calibri" w:hAnsi="Calibri" w:cs="Calibri"/>
          <w:snapToGrid/>
          <w:color w:val="000000" w:themeColor="text1"/>
          <w14:ligatures w14:val="none"/>
        </w:rPr>
        <w:t>.</w:t>
      </w:r>
    </w:p>
    <w:p w:rsidR="49DAAC62" w:rsidP="2AE52F9D" w:rsidRDefault="49DAAC62" w14:paraId="20F1A11A" w14:textId="0DB71DAD">
      <w:pPr>
        <w:pStyle w:val="ListParagraph"/>
        <w:widowControl/>
        <w:numPr>
          <w:ilvl w:val="1"/>
          <w:numId w:val="14"/>
        </w:numPr>
        <w:spacing w:line="264" w:lineRule="auto"/>
        <w:rPr>
          <w:rFonts w:ascii="Calibri" w:hAnsi="Calibri" w:cs="Calibri"/>
          <w:color w:val="000000" w:themeColor="text1"/>
        </w:rPr>
      </w:pPr>
      <w:r w:rsidRPr="2A87825D">
        <w:rPr>
          <w:rFonts w:ascii="Calibri" w:hAnsi="Calibri" w:cs="Calibri"/>
          <w:color w:val="000000" w:themeColor="text1"/>
        </w:rPr>
        <w:t>The extension must be communicated in writing to the affected employee.</w:t>
      </w:r>
    </w:p>
    <w:p w:rsidRPr="00383A20" w:rsidR="007A3057" w:rsidP="00383A20" w:rsidRDefault="007A3057" w14:paraId="0FB205EE" w14:textId="77777777">
      <w:pPr>
        <w:pStyle w:val="ListParagraph"/>
        <w:widowControl/>
        <w:spacing w:line="264" w:lineRule="auto"/>
        <w:contextualSpacing w:val="0"/>
        <w:rPr>
          <w:rFonts w:ascii="Calibri" w:hAnsi="Calibri" w:cs="Calibri"/>
          <w:snapToGrid/>
          <w:color w:val="000000" w:themeColor="text1"/>
          <w:szCs w:val="24"/>
          <w14:ligatures w14:val="none"/>
        </w:rPr>
      </w:pPr>
    </w:p>
    <w:p w:rsidRPr="00383A20" w:rsidR="007A3057" w:rsidP="00383A20" w:rsidRDefault="00B46528" w14:paraId="04F9E8EF" w14:textId="77777777">
      <w:pPr>
        <w:pStyle w:val="ListParagraph"/>
        <w:widowControl/>
        <w:numPr>
          <w:ilvl w:val="0"/>
          <w:numId w:val="14"/>
        </w:numPr>
        <w:spacing w:line="264" w:lineRule="auto"/>
        <w:contextualSpacing w:val="0"/>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Completion of Introductory Period:</w:t>
      </w:r>
    </w:p>
    <w:p w:rsidRPr="00383A20" w:rsidR="007A3057" w:rsidP="00383A20" w:rsidRDefault="00B46528" w14:paraId="093FC899" w14:textId="77777777">
      <w:pPr>
        <w:pStyle w:val="ListParagraph"/>
        <w:widowControl/>
        <w:numPr>
          <w:ilvl w:val="1"/>
          <w:numId w:val="14"/>
        </w:numPr>
        <w:spacing w:line="264" w:lineRule="auto"/>
        <w:contextualSpacing w:val="0"/>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At the end of the introductory period, supervisors will conduct a performance review to evaluate the employee’s suitability for continued employment.</w:t>
      </w:r>
    </w:p>
    <w:p w:rsidRPr="00383A20" w:rsidR="007A3057" w:rsidP="00383A20" w:rsidRDefault="00B46528" w14:paraId="54D7DBEF" w14:textId="77777777">
      <w:pPr>
        <w:pStyle w:val="ListParagraph"/>
        <w:widowControl/>
        <w:numPr>
          <w:ilvl w:val="1"/>
          <w:numId w:val="14"/>
        </w:numPr>
        <w:spacing w:line="264" w:lineRule="auto"/>
        <w:contextualSpacing w:val="0"/>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Upon satisfactory completion, the employee will be eligible for continued employment but will retain at-will status, meaning they may still be terminated, transferred, or demoted without cause.</w:t>
      </w:r>
    </w:p>
    <w:p w:rsidRPr="00383A20" w:rsidR="007A3057" w:rsidP="00383A20" w:rsidRDefault="007A3057" w14:paraId="1300AE87" w14:textId="77777777">
      <w:pPr>
        <w:pStyle w:val="ListParagraph"/>
        <w:widowControl/>
        <w:spacing w:line="264" w:lineRule="auto"/>
        <w:contextualSpacing w:val="0"/>
        <w:rPr>
          <w:rFonts w:ascii="Calibri" w:hAnsi="Calibri" w:cs="Calibri"/>
          <w:snapToGrid/>
          <w:color w:val="000000" w:themeColor="text1"/>
          <w:szCs w:val="24"/>
          <w14:ligatures w14:val="none"/>
        </w:rPr>
      </w:pPr>
    </w:p>
    <w:p w:rsidRPr="00383A20" w:rsidR="00AF516A" w:rsidP="00383A20" w:rsidRDefault="00B46528" w14:paraId="633BE4EC" w14:textId="77777777">
      <w:pPr>
        <w:pStyle w:val="ListParagraph"/>
        <w:widowControl/>
        <w:numPr>
          <w:ilvl w:val="0"/>
          <w:numId w:val="14"/>
        </w:numPr>
        <w:spacing w:line="264" w:lineRule="auto"/>
        <w:contextualSpacing w:val="0"/>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Restrictions During Introductory Period:</w:t>
      </w:r>
    </w:p>
    <w:p w:rsidRPr="00383A20" w:rsidR="00AF516A" w:rsidP="00383A20" w:rsidRDefault="00B46528" w14:paraId="35E3F6A5" w14:textId="77777777">
      <w:pPr>
        <w:pStyle w:val="ListParagraph"/>
        <w:widowControl/>
        <w:numPr>
          <w:ilvl w:val="1"/>
          <w:numId w:val="14"/>
        </w:numPr>
        <w:spacing w:line="264" w:lineRule="auto"/>
        <w:contextualSpacing w:val="0"/>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Employees in the introductory period are not eligible for reassignment, promotion, or voluntary transfer.</w:t>
      </w:r>
    </w:p>
    <w:p w:rsidRPr="00383A20" w:rsidR="00B46528" w:rsidP="2AE52F9D" w:rsidRDefault="00B46528" w14:paraId="67FBE315" w14:textId="3BF648A7">
      <w:pPr>
        <w:pStyle w:val="ListParagraph"/>
        <w:widowControl/>
        <w:numPr>
          <w:ilvl w:val="1"/>
          <w:numId w:val="14"/>
        </w:numPr>
        <w:spacing w:line="264" w:lineRule="auto"/>
        <w:rPr>
          <w:rFonts w:ascii="Calibri" w:hAnsi="Calibri" w:cs="Calibri"/>
          <w:snapToGrid/>
          <w:color w:val="000000" w:themeColor="text1"/>
          <w14:ligatures w14:val="none"/>
        </w:rPr>
      </w:pPr>
      <w:r w:rsidRPr="2AE52F9D">
        <w:rPr>
          <w:rFonts w:ascii="Calibri" w:hAnsi="Calibri" w:cs="Calibri"/>
          <w:snapToGrid/>
          <w:color w:val="000000" w:themeColor="text1"/>
          <w14:ligatures w14:val="none"/>
        </w:rPr>
        <w:t>Exceptions may be made if deemed in the City’s best interest, with approval from both affected departments</w:t>
      </w:r>
      <w:r w:rsidRPr="2AE52F9D" w:rsidR="421616D5">
        <w:rPr>
          <w:rFonts w:ascii="Calibri" w:hAnsi="Calibri" w:cs="Calibri"/>
          <w:snapToGrid/>
          <w:color w:val="000000" w:themeColor="text1"/>
          <w14:ligatures w14:val="none"/>
        </w:rPr>
        <w:t xml:space="preserve"> and Human Resources</w:t>
      </w:r>
      <w:r w:rsidRPr="2AE52F9D">
        <w:rPr>
          <w:rFonts w:ascii="Calibri" w:hAnsi="Calibri" w:cs="Calibri"/>
          <w:snapToGrid/>
          <w:color w:val="000000" w:themeColor="text1"/>
          <w14:ligatures w14:val="none"/>
        </w:rPr>
        <w:t>.</w:t>
      </w:r>
    </w:p>
    <w:p w:rsidRPr="00383A20" w:rsidR="00B46528" w:rsidP="00383A20" w:rsidRDefault="00B46528" w14:paraId="77061993" w14:textId="77777777">
      <w:pPr>
        <w:spacing w:line="264" w:lineRule="auto"/>
        <w:rPr>
          <w:rFonts w:ascii="Calibri" w:hAnsi="Calibri" w:cs="Calibri"/>
          <w:snapToGrid/>
          <w:color w:val="000000" w:themeColor="text1"/>
          <w:szCs w:val="24"/>
        </w:rPr>
      </w:pPr>
    </w:p>
    <w:p w:rsidRPr="00383A20" w:rsidR="00B46528" w:rsidP="00383A20" w:rsidRDefault="005D4413" w14:paraId="4BF5FF4B" w14:textId="025BF4C2">
      <w:pPr>
        <w:spacing w:line="264" w:lineRule="auto"/>
        <w:rPr>
          <w:rFonts w:ascii="Calibri" w:hAnsi="Calibri" w:cs="Calibri"/>
          <w:b/>
          <w:bCs/>
          <w:color w:val="000000" w:themeColor="text1"/>
          <w:szCs w:val="24"/>
        </w:rPr>
      </w:pPr>
      <w:r w:rsidRPr="00383A20">
        <w:rPr>
          <w:rFonts w:ascii="Calibri" w:hAnsi="Calibri" w:cs="Calibri"/>
          <w:b/>
          <w:bCs/>
          <w:color w:val="000000" w:themeColor="text1"/>
          <w:szCs w:val="24"/>
        </w:rPr>
        <w:t>PROCEDURES:</w:t>
      </w:r>
    </w:p>
    <w:p w:rsidRPr="00383A20" w:rsidR="00E3652F" w:rsidP="00383A20" w:rsidRDefault="00E3652F" w14:paraId="0A62BC57" w14:textId="77777777">
      <w:pPr>
        <w:spacing w:line="264" w:lineRule="auto"/>
        <w:rPr>
          <w:rFonts w:ascii="Calibri" w:hAnsi="Calibri" w:cs="Calibri"/>
          <w:snapToGrid/>
          <w:color w:val="000000" w:themeColor="text1"/>
          <w:szCs w:val="24"/>
        </w:rPr>
      </w:pPr>
    </w:p>
    <w:p w:rsidRPr="00383A20" w:rsidR="00634A0D" w:rsidP="00383A20" w:rsidRDefault="00B46528" w14:paraId="1D5D83EF" w14:textId="77777777">
      <w:pPr>
        <w:widowControl/>
        <w:numPr>
          <w:ilvl w:val="0"/>
          <w:numId w:val="12"/>
        </w:numPr>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Onboarding and Initial Review:</w:t>
      </w:r>
    </w:p>
    <w:p w:rsidRPr="00383A20" w:rsidR="00B46528" w:rsidP="00383A20" w:rsidRDefault="00B46528" w14:paraId="0B4ED0E3" w14:textId="05335556">
      <w:pPr>
        <w:widowControl/>
        <w:numPr>
          <w:ilvl w:val="1"/>
          <w:numId w:val="12"/>
        </w:numPr>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New, rehired, transferred, demoted, or promoted employees will be informed of their introductory period during onboarding.</w:t>
      </w:r>
    </w:p>
    <w:p w:rsidRPr="00383A20" w:rsidR="00B46528" w:rsidP="00383A20" w:rsidRDefault="00B46528" w14:paraId="69B0581F" w14:textId="77777777">
      <w:pPr>
        <w:widowControl/>
        <w:numPr>
          <w:ilvl w:val="1"/>
          <w:numId w:val="12"/>
        </w:numPr>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Supervisors will outline performance expectations and review processes at the start of the period.</w:t>
      </w:r>
    </w:p>
    <w:p w:rsidRPr="00383A20" w:rsidR="00634A0D" w:rsidP="00383A20" w:rsidRDefault="00634A0D" w14:paraId="29493124" w14:textId="77777777">
      <w:pPr>
        <w:widowControl/>
        <w:spacing w:line="264" w:lineRule="auto"/>
        <w:ind w:left="1440"/>
        <w:rPr>
          <w:rFonts w:ascii="Calibri" w:hAnsi="Calibri" w:cs="Calibri"/>
          <w:snapToGrid/>
          <w:color w:val="000000" w:themeColor="text1"/>
          <w:szCs w:val="24"/>
          <w14:ligatures w14:val="none"/>
        </w:rPr>
      </w:pPr>
    </w:p>
    <w:p w:rsidRPr="00383A20" w:rsidR="00B46528" w:rsidP="00383A20" w:rsidRDefault="00B46528" w14:paraId="2D319E4A" w14:textId="77777777">
      <w:pPr>
        <w:widowControl/>
        <w:numPr>
          <w:ilvl w:val="0"/>
          <w:numId w:val="12"/>
        </w:numPr>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Performance Monitoring:</w:t>
      </w:r>
    </w:p>
    <w:p w:rsidRPr="00383A20" w:rsidR="00B46528" w:rsidP="00383A20" w:rsidRDefault="00B46528" w14:paraId="63924E7A" w14:textId="77777777">
      <w:pPr>
        <w:widowControl/>
        <w:numPr>
          <w:ilvl w:val="1"/>
          <w:numId w:val="12"/>
        </w:numPr>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Supervisors will conduct regular evaluations and provide feedback during the introductory period.</w:t>
      </w:r>
    </w:p>
    <w:p w:rsidRPr="00383A20" w:rsidR="00B46528" w:rsidP="00383A20" w:rsidRDefault="00B46528" w14:paraId="7ED9971A" w14:textId="77777777">
      <w:pPr>
        <w:widowControl/>
        <w:numPr>
          <w:ilvl w:val="1"/>
          <w:numId w:val="12"/>
        </w:numPr>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Any performance deficiencies must be documented, and the employee should be informed of areas needing improvement.</w:t>
      </w:r>
    </w:p>
    <w:p w:rsidRPr="00383A20" w:rsidR="00634A0D" w:rsidP="00383A20" w:rsidRDefault="00634A0D" w14:paraId="26D75CFF" w14:textId="77777777">
      <w:pPr>
        <w:widowControl/>
        <w:spacing w:line="264" w:lineRule="auto"/>
        <w:ind w:left="1440"/>
        <w:rPr>
          <w:rFonts w:ascii="Calibri" w:hAnsi="Calibri" w:cs="Calibri"/>
          <w:snapToGrid/>
          <w:color w:val="000000" w:themeColor="text1"/>
          <w:szCs w:val="24"/>
          <w14:ligatures w14:val="none"/>
        </w:rPr>
      </w:pPr>
    </w:p>
    <w:p w:rsidRPr="00383A20" w:rsidR="00B46528" w:rsidP="00383A20" w:rsidRDefault="00B46528" w14:paraId="7C86B927" w14:textId="77777777">
      <w:pPr>
        <w:widowControl/>
        <w:numPr>
          <w:ilvl w:val="0"/>
          <w:numId w:val="12"/>
        </w:numPr>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Performance Review at Completion:</w:t>
      </w:r>
    </w:p>
    <w:p w:rsidRPr="00383A20" w:rsidR="00B46528" w:rsidP="00383A20" w:rsidRDefault="00B46528" w14:paraId="5779FEFC" w14:textId="77777777">
      <w:pPr>
        <w:widowControl/>
        <w:numPr>
          <w:ilvl w:val="1"/>
          <w:numId w:val="12"/>
        </w:numPr>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 xml:space="preserve">At the conclusion of the six-month period, supervisors will complete a formal performance review, discussing outcomes with the </w:t>
      </w:r>
      <w:proofErr w:type="gramStart"/>
      <w:r w:rsidRPr="00383A20">
        <w:rPr>
          <w:rFonts w:ascii="Calibri" w:hAnsi="Calibri" w:cs="Calibri"/>
          <w:snapToGrid/>
          <w:color w:val="000000" w:themeColor="text1"/>
          <w:szCs w:val="24"/>
          <w14:ligatures w14:val="none"/>
        </w:rPr>
        <w:t>employee</w:t>
      </w:r>
      <w:proofErr w:type="gramEnd"/>
      <w:r w:rsidRPr="00383A20">
        <w:rPr>
          <w:rFonts w:ascii="Calibri" w:hAnsi="Calibri" w:cs="Calibri"/>
          <w:snapToGrid/>
          <w:color w:val="000000" w:themeColor="text1"/>
          <w:szCs w:val="24"/>
          <w14:ligatures w14:val="none"/>
        </w:rPr>
        <w:t>.</w:t>
      </w:r>
    </w:p>
    <w:p w:rsidRPr="00383A20" w:rsidR="00B46528" w:rsidP="00383A20" w:rsidRDefault="00B46528" w14:paraId="7E37E016" w14:textId="77777777">
      <w:pPr>
        <w:widowControl/>
        <w:numPr>
          <w:ilvl w:val="1"/>
          <w:numId w:val="12"/>
        </w:numPr>
        <w:spacing w:line="264" w:lineRule="auto"/>
        <w:rPr>
          <w:rFonts w:ascii="Calibri" w:hAnsi="Calibri" w:cs="Calibri"/>
          <w:snapToGrid/>
          <w:color w:val="000000" w:themeColor="text1"/>
          <w:szCs w:val="24"/>
          <w14:ligatures w14:val="none"/>
        </w:rPr>
      </w:pPr>
      <w:r w:rsidRPr="59D424D7" w:rsidR="00B46528">
        <w:rPr>
          <w:rFonts w:ascii="Calibri" w:hAnsi="Calibri" w:cs="Calibri"/>
          <w:snapToGrid/>
          <w:color w:val="000000" w:themeColor="text1"/>
          <w14:ligatures w14:val="none"/>
        </w:rPr>
        <w:t>The review will determine if the employee has met the expectations and whether continued employment is recommended.</w:t>
      </w:r>
    </w:p>
    <w:p w:rsidR="001444DB" w:rsidP="00383A20" w:rsidRDefault="001444DB" w14:paraId="6BFC2982" w14:textId="77777777">
      <w:pPr>
        <w:widowControl/>
        <w:spacing w:line="264" w:lineRule="auto"/>
        <w:ind w:left="1440"/>
        <w:rPr>
          <w:rFonts w:ascii="Calibri" w:hAnsi="Calibri" w:cs="Calibri"/>
          <w:snapToGrid/>
          <w:color w:val="000000" w:themeColor="text1"/>
          <w:szCs w:val="24"/>
          <w14:ligatures w14:val="none"/>
        </w:rPr>
      </w:pPr>
    </w:p>
    <w:p w:rsidRPr="00383A20" w:rsidR="00B46528" w:rsidP="00383A20" w:rsidRDefault="00B46528" w14:paraId="409CA454" w14:textId="77777777">
      <w:pPr>
        <w:widowControl/>
        <w:numPr>
          <w:ilvl w:val="0"/>
          <w:numId w:val="12"/>
        </w:numPr>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lastRenderedPageBreak/>
        <w:t>Termination or Reassignment:</w:t>
      </w:r>
    </w:p>
    <w:p w:rsidRPr="00383A20" w:rsidR="00B46528" w:rsidP="00383A20" w:rsidRDefault="00B46528" w14:paraId="5458F990" w14:textId="77777777">
      <w:pPr>
        <w:widowControl/>
        <w:numPr>
          <w:ilvl w:val="1"/>
          <w:numId w:val="12"/>
        </w:numPr>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If the employee fails to meet performance standards, supervisors must consult with the department director and Human Resources before making termination decisions.</w:t>
      </w:r>
    </w:p>
    <w:p w:rsidRPr="00383A20" w:rsidR="00B46528" w:rsidP="00383A20" w:rsidRDefault="00B46528" w14:paraId="746AFB5A" w14:textId="7C0723EE">
      <w:pPr>
        <w:widowControl/>
        <w:numPr>
          <w:ilvl w:val="1"/>
          <w:numId w:val="12"/>
        </w:numPr>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If a transferred, demoted, or promoted employee fails in the new role, the supervisor will determine whether returning to the former position is feasible.</w:t>
      </w:r>
    </w:p>
    <w:p w:rsidRPr="00383A20" w:rsidR="00634A0D" w:rsidP="00383A20" w:rsidRDefault="00634A0D" w14:paraId="666E3AB8" w14:textId="77777777">
      <w:pPr>
        <w:widowControl/>
        <w:spacing w:line="264" w:lineRule="auto"/>
        <w:ind w:left="1440"/>
        <w:rPr>
          <w:rFonts w:ascii="Calibri" w:hAnsi="Calibri" w:cs="Calibri"/>
          <w:snapToGrid/>
          <w:color w:val="000000" w:themeColor="text1"/>
          <w:szCs w:val="24"/>
          <w14:ligatures w14:val="none"/>
        </w:rPr>
      </w:pPr>
    </w:p>
    <w:p w:rsidRPr="00383A20" w:rsidR="00B46528" w:rsidP="00383A20" w:rsidRDefault="00B46528" w14:paraId="47399711" w14:textId="77777777">
      <w:pPr>
        <w:widowControl/>
        <w:numPr>
          <w:ilvl w:val="0"/>
          <w:numId w:val="12"/>
        </w:numPr>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Documentation and Reporting:</w:t>
      </w:r>
    </w:p>
    <w:p w:rsidRPr="00383A20" w:rsidR="00B46528" w:rsidP="00383A20" w:rsidRDefault="00B46528" w14:paraId="07654C42" w14:textId="77777777">
      <w:pPr>
        <w:widowControl/>
        <w:numPr>
          <w:ilvl w:val="1"/>
          <w:numId w:val="12"/>
        </w:numPr>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All performance reviews, extension requests, and termination justifications must be documented and submitted to Human Resources.</w:t>
      </w:r>
    </w:p>
    <w:p w:rsidRPr="00383A20" w:rsidR="00B46528" w:rsidP="00383A20" w:rsidRDefault="00B46528" w14:paraId="542B34BA" w14:textId="77777777">
      <w:pPr>
        <w:widowControl/>
        <w:numPr>
          <w:ilvl w:val="1"/>
          <w:numId w:val="12"/>
        </w:numPr>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Final decisions regarding employment status will be recorded in the employee’s personnel file.</w:t>
      </w:r>
    </w:p>
    <w:p w:rsidRPr="00383A20" w:rsidR="00634A0D" w:rsidP="00383A20" w:rsidRDefault="00634A0D" w14:paraId="0DCE4A9C" w14:textId="77777777">
      <w:pPr>
        <w:widowControl/>
        <w:spacing w:line="264" w:lineRule="auto"/>
        <w:ind w:left="1440"/>
        <w:rPr>
          <w:rFonts w:ascii="Calibri" w:hAnsi="Calibri" w:cs="Calibri"/>
          <w:snapToGrid/>
          <w:color w:val="000000" w:themeColor="text1"/>
          <w:szCs w:val="24"/>
          <w14:ligatures w14:val="none"/>
        </w:rPr>
      </w:pPr>
    </w:p>
    <w:p w:rsidRPr="00383A20" w:rsidR="00B46528" w:rsidP="00383A20" w:rsidRDefault="00B46528" w14:paraId="1892989E" w14:textId="77777777">
      <w:pPr>
        <w:widowControl/>
        <w:numPr>
          <w:ilvl w:val="0"/>
          <w:numId w:val="12"/>
        </w:numPr>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Post-Introductory Period:</w:t>
      </w:r>
    </w:p>
    <w:p w:rsidRPr="00383A20" w:rsidR="00B46528" w:rsidP="00383A20" w:rsidRDefault="00B46528" w14:paraId="4AF59F18" w14:textId="77777777">
      <w:pPr>
        <w:widowControl/>
        <w:numPr>
          <w:ilvl w:val="1"/>
          <w:numId w:val="12"/>
        </w:numPr>
        <w:spacing w:line="264" w:lineRule="auto"/>
        <w:rPr>
          <w:rFonts w:ascii="Calibri" w:hAnsi="Calibri" w:cs="Calibri"/>
          <w:snapToGrid/>
          <w:color w:val="000000" w:themeColor="text1"/>
          <w:szCs w:val="24"/>
          <w14:ligatures w14:val="none"/>
        </w:rPr>
      </w:pPr>
      <w:r w:rsidRPr="00383A20">
        <w:rPr>
          <w:rFonts w:ascii="Calibri" w:hAnsi="Calibri" w:cs="Calibri"/>
          <w:snapToGrid/>
          <w:color w:val="000000" w:themeColor="text1"/>
          <w:szCs w:val="24"/>
          <w14:ligatures w14:val="none"/>
        </w:rPr>
        <w:t>After successfully completing the introductory period, employees will continue to work under at-will employment terms, retaining their right to be terminated or reassigned without cause.</w:t>
      </w:r>
    </w:p>
    <w:p w:rsidRPr="00383A20" w:rsidR="0026715E" w:rsidP="00383A20" w:rsidRDefault="0026715E" w14:paraId="2C83EBA4" w14:textId="744708EA">
      <w:pPr>
        <w:spacing w:line="264" w:lineRule="auto"/>
        <w:ind w:left="360"/>
        <w:jc w:val="both"/>
        <w:rPr>
          <w:rFonts w:ascii="Calibri" w:hAnsi="Calibri" w:cs="Calibri"/>
          <w:color w:val="000000" w:themeColor="text1"/>
          <w:szCs w:val="24"/>
        </w:rPr>
      </w:pPr>
    </w:p>
    <w:sectPr w:rsidRPr="00383A20" w:rsidR="0026715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45A"/>
    <w:multiLevelType w:val="hybridMultilevel"/>
    <w:tmpl w:val="082E3A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C2B29"/>
    <w:multiLevelType w:val="hybridMultilevel"/>
    <w:tmpl w:val="C1A08D3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A498B"/>
    <w:multiLevelType w:val="multilevel"/>
    <w:tmpl w:val="50D6A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36467E"/>
    <w:multiLevelType w:val="multilevel"/>
    <w:tmpl w:val="2C541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8C23CA"/>
    <w:multiLevelType w:val="multilevel"/>
    <w:tmpl w:val="8E98B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8D6BA3"/>
    <w:multiLevelType w:val="multilevel"/>
    <w:tmpl w:val="4BD83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A400C3"/>
    <w:multiLevelType w:val="multilevel"/>
    <w:tmpl w:val="6AA824F8"/>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5082481"/>
    <w:multiLevelType w:val="multilevel"/>
    <w:tmpl w:val="6AA824F8"/>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E016849"/>
    <w:multiLevelType w:val="multilevel"/>
    <w:tmpl w:val="EBDE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AF5BC5"/>
    <w:multiLevelType w:val="multilevel"/>
    <w:tmpl w:val="BA54E0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F4B78C2"/>
    <w:multiLevelType w:val="multilevel"/>
    <w:tmpl w:val="AAC8510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071121E"/>
    <w:multiLevelType w:val="multilevel"/>
    <w:tmpl w:val="5F9AF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BE50AC"/>
    <w:multiLevelType w:val="multilevel"/>
    <w:tmpl w:val="5BBEF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232471"/>
    <w:multiLevelType w:val="hybridMultilevel"/>
    <w:tmpl w:val="72E2CB0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6464175">
    <w:abstractNumId w:val="0"/>
  </w:num>
  <w:num w:numId="2" w16cid:durableId="1821458320">
    <w:abstractNumId w:val="9"/>
  </w:num>
  <w:num w:numId="3" w16cid:durableId="1042287963">
    <w:abstractNumId w:val="3"/>
  </w:num>
  <w:num w:numId="4" w16cid:durableId="112023940">
    <w:abstractNumId w:val="2"/>
  </w:num>
  <w:num w:numId="5" w16cid:durableId="1633290185">
    <w:abstractNumId w:val="11"/>
  </w:num>
  <w:num w:numId="6" w16cid:durableId="1489205814">
    <w:abstractNumId w:val="12"/>
  </w:num>
  <w:num w:numId="7" w16cid:durableId="1410149913">
    <w:abstractNumId w:val="4"/>
  </w:num>
  <w:num w:numId="8" w16cid:durableId="1787579084">
    <w:abstractNumId w:val="8"/>
  </w:num>
  <w:num w:numId="9" w16cid:durableId="385027293">
    <w:abstractNumId w:val="5"/>
  </w:num>
  <w:num w:numId="10" w16cid:durableId="2058578883">
    <w:abstractNumId w:val="10"/>
  </w:num>
  <w:num w:numId="11" w16cid:durableId="829717997">
    <w:abstractNumId w:val="7"/>
  </w:num>
  <w:num w:numId="12" w16cid:durableId="1843736585">
    <w:abstractNumId w:val="1"/>
  </w:num>
  <w:num w:numId="13" w16cid:durableId="1809320392">
    <w:abstractNumId w:val="6"/>
  </w:num>
  <w:num w:numId="14" w16cid:durableId="7642295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E7"/>
    <w:rsid w:val="00010B66"/>
    <w:rsid w:val="0008165A"/>
    <w:rsid w:val="000D21EC"/>
    <w:rsid w:val="001444DB"/>
    <w:rsid w:val="001510A8"/>
    <w:rsid w:val="001D0A22"/>
    <w:rsid w:val="00233F68"/>
    <w:rsid w:val="0026715E"/>
    <w:rsid w:val="00307AC6"/>
    <w:rsid w:val="00383A20"/>
    <w:rsid w:val="003F0352"/>
    <w:rsid w:val="00416FE2"/>
    <w:rsid w:val="00442617"/>
    <w:rsid w:val="00510EEA"/>
    <w:rsid w:val="00556959"/>
    <w:rsid w:val="005A673F"/>
    <w:rsid w:val="005D4413"/>
    <w:rsid w:val="00634A0D"/>
    <w:rsid w:val="00644755"/>
    <w:rsid w:val="0066014C"/>
    <w:rsid w:val="006A2CD9"/>
    <w:rsid w:val="006F1466"/>
    <w:rsid w:val="007A3057"/>
    <w:rsid w:val="007C47EC"/>
    <w:rsid w:val="00843CAB"/>
    <w:rsid w:val="009F18A4"/>
    <w:rsid w:val="00A323C1"/>
    <w:rsid w:val="00AB5E1B"/>
    <w:rsid w:val="00AE4FF3"/>
    <w:rsid w:val="00AF516A"/>
    <w:rsid w:val="00B27CC7"/>
    <w:rsid w:val="00B46528"/>
    <w:rsid w:val="00BA7B3F"/>
    <w:rsid w:val="00BC0825"/>
    <w:rsid w:val="00BE2174"/>
    <w:rsid w:val="00BE658D"/>
    <w:rsid w:val="00C354CB"/>
    <w:rsid w:val="00CC3C41"/>
    <w:rsid w:val="00D8731F"/>
    <w:rsid w:val="00D91F21"/>
    <w:rsid w:val="00E3652F"/>
    <w:rsid w:val="00E861E7"/>
    <w:rsid w:val="00ED76B8"/>
    <w:rsid w:val="00EF0174"/>
    <w:rsid w:val="10797A15"/>
    <w:rsid w:val="1CF12787"/>
    <w:rsid w:val="27FAAE10"/>
    <w:rsid w:val="2A87825D"/>
    <w:rsid w:val="2AE52F9D"/>
    <w:rsid w:val="2EF84C3E"/>
    <w:rsid w:val="30FB9E9C"/>
    <w:rsid w:val="421616D5"/>
    <w:rsid w:val="49DAAC62"/>
    <w:rsid w:val="59D424D7"/>
    <w:rsid w:val="71A9A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0CD7"/>
  <w15:chartTrackingRefBased/>
  <w15:docId w15:val="{7DE7509B-1C30-4550-A891-E1AF4BAF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61E7"/>
    <w:pPr>
      <w:widowControl w:val="0"/>
      <w:spacing w:after="0" w:line="240" w:lineRule="auto"/>
    </w:pPr>
    <w:rPr>
      <w:rFonts w:ascii="CG Times" w:hAnsi="CG Times" w:eastAsia="Times New Roman" w:cs="Times New Roman"/>
      <w:snapToGrid w:val="0"/>
      <w:kern w:val="0"/>
      <w:sz w:val="24"/>
      <w:szCs w:val="20"/>
    </w:rPr>
  </w:style>
  <w:style w:type="paragraph" w:styleId="Heading1">
    <w:name w:val="heading 1"/>
    <w:basedOn w:val="Normal"/>
    <w:next w:val="Normal"/>
    <w:link w:val="Heading1Char"/>
    <w:uiPriority w:val="9"/>
    <w:qFormat/>
    <w:rsid w:val="00E861E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1E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1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1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1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1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1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1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1E7"/>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861E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861E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861E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861E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861E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861E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861E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861E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861E7"/>
    <w:rPr>
      <w:rFonts w:eastAsiaTheme="majorEastAsia" w:cstheme="majorBidi"/>
      <w:color w:val="272727" w:themeColor="text1" w:themeTint="D8"/>
    </w:rPr>
  </w:style>
  <w:style w:type="paragraph" w:styleId="Title">
    <w:name w:val="Title"/>
    <w:basedOn w:val="Normal"/>
    <w:next w:val="Normal"/>
    <w:link w:val="TitleChar"/>
    <w:uiPriority w:val="10"/>
    <w:qFormat/>
    <w:rsid w:val="00E861E7"/>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861E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861E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861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1E7"/>
    <w:pPr>
      <w:spacing w:before="160"/>
      <w:jc w:val="center"/>
    </w:pPr>
    <w:rPr>
      <w:i/>
      <w:iCs/>
      <w:color w:val="404040" w:themeColor="text1" w:themeTint="BF"/>
    </w:rPr>
  </w:style>
  <w:style w:type="character" w:styleId="QuoteChar" w:customStyle="1">
    <w:name w:val="Quote Char"/>
    <w:basedOn w:val="DefaultParagraphFont"/>
    <w:link w:val="Quote"/>
    <w:uiPriority w:val="29"/>
    <w:rsid w:val="00E861E7"/>
    <w:rPr>
      <w:i/>
      <w:iCs/>
      <w:color w:val="404040" w:themeColor="text1" w:themeTint="BF"/>
    </w:rPr>
  </w:style>
  <w:style w:type="paragraph" w:styleId="ListParagraph">
    <w:name w:val="List Paragraph"/>
    <w:basedOn w:val="Normal"/>
    <w:uiPriority w:val="34"/>
    <w:qFormat/>
    <w:rsid w:val="00E861E7"/>
    <w:pPr>
      <w:ind w:left="720"/>
      <w:contextualSpacing/>
    </w:pPr>
  </w:style>
  <w:style w:type="character" w:styleId="IntenseEmphasis">
    <w:name w:val="Intense Emphasis"/>
    <w:basedOn w:val="DefaultParagraphFont"/>
    <w:uiPriority w:val="21"/>
    <w:qFormat/>
    <w:rsid w:val="00E861E7"/>
    <w:rPr>
      <w:i/>
      <w:iCs/>
      <w:color w:val="0F4761" w:themeColor="accent1" w:themeShade="BF"/>
    </w:rPr>
  </w:style>
  <w:style w:type="paragraph" w:styleId="IntenseQuote">
    <w:name w:val="Intense Quote"/>
    <w:basedOn w:val="Normal"/>
    <w:next w:val="Normal"/>
    <w:link w:val="IntenseQuoteChar"/>
    <w:uiPriority w:val="30"/>
    <w:qFormat/>
    <w:rsid w:val="00E861E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861E7"/>
    <w:rPr>
      <w:i/>
      <w:iCs/>
      <w:color w:val="0F4761" w:themeColor="accent1" w:themeShade="BF"/>
    </w:rPr>
  </w:style>
  <w:style w:type="character" w:styleId="IntenseReference">
    <w:name w:val="Intense Reference"/>
    <w:basedOn w:val="DefaultParagraphFont"/>
    <w:uiPriority w:val="32"/>
    <w:qFormat/>
    <w:rsid w:val="00E861E7"/>
    <w:rPr>
      <w:b/>
      <w:bCs/>
      <w:smallCaps/>
      <w:color w:val="0F4761" w:themeColor="accent1" w:themeShade="BF"/>
      <w:spacing w:val="5"/>
    </w:rPr>
  </w:style>
  <w:style w:type="paragraph" w:styleId="Default" w:customStyle="1">
    <w:name w:val="Default"/>
    <w:rsid w:val="00B46528"/>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B4652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BE2174"/>
    <w:rPr>
      <w:sz w:val="16"/>
      <w:szCs w:val="16"/>
    </w:rPr>
  </w:style>
  <w:style w:type="paragraph" w:styleId="CommentText">
    <w:name w:val="annotation text"/>
    <w:basedOn w:val="Normal"/>
    <w:link w:val="CommentTextChar"/>
    <w:uiPriority w:val="99"/>
    <w:unhideWhenUsed/>
    <w:rsid w:val="00BE2174"/>
    <w:rPr>
      <w:sz w:val="20"/>
    </w:rPr>
  </w:style>
  <w:style w:type="character" w:styleId="CommentTextChar" w:customStyle="1">
    <w:name w:val="Comment Text Char"/>
    <w:basedOn w:val="DefaultParagraphFont"/>
    <w:link w:val="CommentText"/>
    <w:uiPriority w:val="99"/>
    <w:rsid w:val="00BE2174"/>
    <w:rPr>
      <w:rFonts w:ascii="CG Times" w:hAnsi="CG Times" w:eastAsia="Times New Roman" w:cs="Times New Roman"/>
      <w:snapToGrid w:val="0"/>
      <w:kern w:val="0"/>
      <w:sz w:val="20"/>
      <w:szCs w:val="20"/>
    </w:rPr>
  </w:style>
  <w:style w:type="paragraph" w:styleId="CommentSubject">
    <w:name w:val="annotation subject"/>
    <w:basedOn w:val="CommentText"/>
    <w:next w:val="CommentText"/>
    <w:link w:val="CommentSubjectChar"/>
    <w:uiPriority w:val="99"/>
    <w:semiHidden/>
    <w:unhideWhenUsed/>
    <w:rsid w:val="00BE2174"/>
    <w:rPr>
      <w:b/>
      <w:bCs/>
    </w:rPr>
  </w:style>
  <w:style w:type="character" w:styleId="CommentSubjectChar" w:customStyle="1">
    <w:name w:val="Comment Subject Char"/>
    <w:basedOn w:val="CommentTextChar"/>
    <w:link w:val="CommentSubject"/>
    <w:uiPriority w:val="99"/>
    <w:semiHidden/>
    <w:rsid w:val="00BE2174"/>
    <w:rPr>
      <w:rFonts w:ascii="CG Times" w:hAnsi="CG Times" w:eastAsia="Times New Roman" w:cs="Times New Roman"/>
      <w:b/>
      <w:bCs/>
      <w:snapToGrid w:val="0"/>
      <w:kern w:val="0"/>
      <w:sz w:val="20"/>
      <w:szCs w:val="20"/>
    </w:rPr>
  </w:style>
  <w:style w:type="character" w:styleId="Mention">
    <w:name w:val="Mention"/>
    <w:basedOn w:val="DefaultParagraphFont"/>
    <w:uiPriority w:val="99"/>
    <w:unhideWhenUsed/>
    <w:rsid w:val="00BE21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924862">
      <w:bodyDiv w:val="1"/>
      <w:marLeft w:val="0"/>
      <w:marRight w:val="0"/>
      <w:marTop w:val="0"/>
      <w:marBottom w:val="0"/>
      <w:divBdr>
        <w:top w:val="none" w:sz="0" w:space="0" w:color="auto"/>
        <w:left w:val="none" w:sz="0" w:space="0" w:color="auto"/>
        <w:bottom w:val="none" w:sz="0" w:space="0" w:color="auto"/>
        <w:right w:val="none" w:sz="0" w:space="0" w:color="auto"/>
      </w:divBdr>
    </w:div>
    <w:div w:id="104105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0A6FD-CD7B-4B7C-B618-389F24BD80B1}">
  <ds:schemaRefs>
    <ds:schemaRef ds:uri="http://schemas.openxmlformats.org/package/2006/metadata/core-properties"/>
    <ds:schemaRef ds:uri="http://schemas.microsoft.com/office/infopath/2007/PartnerControls"/>
    <ds:schemaRef ds:uri="http://schemas.microsoft.com/office/2006/metadata/properties"/>
    <ds:schemaRef ds:uri="740bd92d-f8e2-4676-9dca-7b44cfe5872f"/>
    <ds:schemaRef ds:uri="http://schemas.microsoft.com/office/2006/documentManagement/types"/>
    <ds:schemaRef ds:uri="http://purl.org/dc/elements/1.1/"/>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731047CF-8A54-4C33-BF87-0D259F017F03}">
  <ds:schemaRefs>
    <ds:schemaRef ds:uri="http://schemas.microsoft.com/sharepoint/v3/contenttype/forms"/>
  </ds:schemaRefs>
</ds:datastoreItem>
</file>

<file path=customXml/itemProps3.xml><?xml version="1.0" encoding="utf-8"?>
<ds:datastoreItem xmlns:ds="http://schemas.openxmlformats.org/officeDocument/2006/customXml" ds:itemID="{A2E441E2-ADD8-4D66-BE1A-E630FC5A2D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lsafranek68@verizon.net</cp:lastModifiedBy>
  <cp:revision>27</cp:revision>
  <dcterms:created xsi:type="dcterms:W3CDTF">2025-04-03T19:43:00Z</dcterms:created>
  <dcterms:modified xsi:type="dcterms:W3CDTF">2025-08-15T16:10:05Z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2025-04-14T02:43:04Z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326b000e-145d-48ca-aa15-64cacc6c7f14</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