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0F42" w:rsidR="00CC0CE4" w:rsidP="00160F42" w:rsidRDefault="00CC0CE4" w14:paraId="0FC497D2" w14:textId="72BD5AC1">
      <w:pPr>
        <w:spacing w:line="264" w:lineRule="auto"/>
        <w:jc w:val="center"/>
        <w:rPr>
          <w:rFonts w:ascii="Calibri" w:hAnsi="Calibri" w:cs="Calibri"/>
          <w:b/>
          <w:bCs/>
          <w:color w:val="000000" w:themeColor="text1"/>
          <w:szCs w:val="24"/>
        </w:rPr>
      </w:pPr>
      <w:r w:rsidRPr="00160F42">
        <w:rPr>
          <w:rFonts w:ascii="Calibri" w:hAnsi="Calibri" w:cs="Calibri"/>
          <w:b/>
          <w:bCs/>
          <w:color w:val="000000" w:themeColor="text1"/>
          <w:szCs w:val="24"/>
        </w:rPr>
        <w:t>SECTION:</w:t>
      </w:r>
      <w:r w:rsidRPr="00160F42">
        <w:rPr>
          <w:rFonts w:ascii="Calibri" w:hAnsi="Calibri" w:cs="Calibri"/>
          <w:color w:val="000000" w:themeColor="text1"/>
          <w:szCs w:val="24"/>
        </w:rPr>
        <w:t xml:space="preserve"> </w:t>
      </w:r>
      <w:r w:rsidRPr="00160F42">
        <w:rPr>
          <w:rFonts w:ascii="Calibri" w:hAnsi="Calibri" w:cs="Calibri"/>
          <w:b/>
          <w:bCs/>
          <w:color w:val="000000" w:themeColor="text1"/>
          <w:szCs w:val="24"/>
        </w:rPr>
        <w:t>BENEFITS</w:t>
      </w:r>
    </w:p>
    <w:p w:rsidRPr="00160F42" w:rsidR="00CC0CE4" w:rsidP="00160F42" w:rsidRDefault="00CC0CE4" w14:paraId="3E4514B4" w14:textId="77777777">
      <w:pPr>
        <w:spacing w:line="264" w:lineRule="auto"/>
        <w:jc w:val="center"/>
        <w:rPr>
          <w:rFonts w:ascii="Calibri" w:hAnsi="Calibri" w:cs="Calibri"/>
          <w:color w:val="000000" w:themeColor="text1"/>
          <w:szCs w:val="24"/>
        </w:rPr>
      </w:pPr>
    </w:p>
    <w:p w:rsidRPr="00160F42" w:rsidR="00CC0CE4" w:rsidP="4F99747E" w:rsidRDefault="00CC0CE4" w14:paraId="04010259" w14:textId="7A31C265">
      <w:pPr>
        <w:spacing w:line="264" w:lineRule="auto"/>
        <w:rPr>
          <w:rFonts w:ascii="Calibri" w:hAnsi="Calibri" w:cs="Calibri"/>
          <w:color w:val="000000" w:themeColor="text1"/>
        </w:rPr>
      </w:pPr>
      <w:r w:rsidRPr="4F99747E" w:rsidR="00CC0CE4">
        <w:rPr>
          <w:rFonts w:ascii="Calibri" w:hAnsi="Calibri" w:cs="Calibri"/>
          <w:b w:val="1"/>
          <w:bCs w:val="1"/>
          <w:color w:val="000000" w:themeColor="text1" w:themeTint="FF" w:themeShade="FF"/>
        </w:rPr>
        <w:t>POLICY:</w:t>
      </w:r>
      <w:r w:rsidRPr="4F99747E" w:rsidR="00CC0CE4">
        <w:rPr>
          <w:rFonts w:ascii="Calibri" w:hAnsi="Calibri" w:cs="Calibri"/>
          <w:color w:val="000000" w:themeColor="text1" w:themeTint="FF" w:themeShade="FF"/>
        </w:rPr>
        <w:t xml:space="preserve"> Insurance – Employees and </w:t>
      </w:r>
      <w:r w:rsidRPr="4F99747E" w:rsidR="00CC0CE4">
        <w:rPr>
          <w:rFonts w:ascii="Calibri" w:hAnsi="Calibri" w:cs="Calibri"/>
          <w:color w:val="000000" w:themeColor="text1" w:themeTint="FF" w:themeShade="FF"/>
        </w:rPr>
        <w:t>Retirees</w:t>
      </w:r>
      <w:r>
        <w:tab/>
      </w:r>
      <w:r>
        <w:tab/>
      </w:r>
      <w:r w:rsidRPr="4F99747E" w:rsidR="00CC0CE4">
        <w:rPr>
          <w:rFonts w:ascii="Calibri" w:hAnsi="Calibri" w:cs="Calibri"/>
          <w:b w:val="1"/>
          <w:bCs w:val="1"/>
          <w:color w:val="000000" w:themeColor="text1" w:themeTint="FF" w:themeShade="FF"/>
        </w:rPr>
        <w:t>EFFECTIVE</w:t>
      </w:r>
      <w:r w:rsidRPr="4F99747E" w:rsidR="00CC0CE4">
        <w:rPr>
          <w:rFonts w:ascii="Calibri" w:hAnsi="Calibri" w:cs="Calibri"/>
          <w:b w:val="1"/>
          <w:bCs w:val="1"/>
          <w:color w:val="000000" w:themeColor="text1" w:themeTint="FF" w:themeShade="FF"/>
        </w:rPr>
        <w:t xml:space="preserve"> DATE:</w:t>
      </w:r>
      <w:r w:rsidRPr="4F99747E" w:rsidR="00CC0CE4">
        <w:rPr>
          <w:rFonts w:ascii="Calibri" w:hAnsi="Calibri" w:cs="Calibri"/>
          <w:color w:val="000000" w:themeColor="text1" w:themeTint="FF" w:themeShade="FF"/>
        </w:rPr>
        <w:t xml:space="preserve"> insert date adopted</w:t>
      </w:r>
    </w:p>
    <w:p w:rsidRPr="00160F42" w:rsidR="007F4106" w:rsidP="00160F42" w:rsidRDefault="007F4106" w14:paraId="33BF8A4E" w14:textId="77777777">
      <w:pPr>
        <w:tabs>
          <w:tab w:val="left" w:pos="1440"/>
        </w:tabs>
        <w:spacing w:line="264" w:lineRule="auto"/>
        <w:ind w:left="720" w:hanging="720"/>
        <w:jc w:val="both"/>
        <w:rPr>
          <w:rFonts w:ascii="Calibri" w:hAnsi="Calibri" w:cs="Calibri"/>
          <w:color w:val="000000" w:themeColor="text1"/>
          <w:szCs w:val="24"/>
        </w:rPr>
      </w:pPr>
    </w:p>
    <w:p w:rsidRPr="00160F42" w:rsidR="00F90674" w:rsidP="00160F42" w:rsidRDefault="00F90674" w14:paraId="558432F6" w14:textId="77777777">
      <w:pPr>
        <w:tabs>
          <w:tab w:val="left" w:pos="1440"/>
        </w:tabs>
        <w:spacing w:line="264" w:lineRule="auto"/>
        <w:ind w:left="720" w:hanging="720"/>
        <w:jc w:val="both"/>
        <w:rPr>
          <w:rFonts w:ascii="Calibri" w:hAnsi="Calibri" w:cs="Calibri"/>
          <w:color w:val="000000" w:themeColor="text1"/>
          <w:szCs w:val="24"/>
        </w:rPr>
      </w:pPr>
    </w:p>
    <w:p w:rsidRPr="00160F42" w:rsidR="007F4106" w:rsidP="00160F42" w:rsidRDefault="00E64A29" w14:paraId="4E38B17D" w14:textId="4C377A15">
      <w:pPr>
        <w:spacing w:line="264" w:lineRule="auto"/>
        <w:rPr>
          <w:rFonts w:ascii="Calibri" w:hAnsi="Calibri" w:cs="Calibri"/>
          <w:b/>
          <w:bCs/>
          <w:color w:val="000000" w:themeColor="text1"/>
          <w:szCs w:val="24"/>
        </w:rPr>
      </w:pPr>
      <w:r w:rsidRPr="00160F42">
        <w:rPr>
          <w:rFonts w:ascii="Calibri" w:hAnsi="Calibri" w:cs="Calibri"/>
          <w:b/>
          <w:bCs/>
          <w:color w:val="000000" w:themeColor="text1"/>
          <w:szCs w:val="24"/>
        </w:rPr>
        <w:t>STATEMENT OF PURPOSE:</w:t>
      </w:r>
    </w:p>
    <w:p w:rsidRPr="00160F42" w:rsidR="00876E5D" w:rsidP="00160F42" w:rsidRDefault="00876E5D" w14:paraId="6BCF8764" w14:textId="77777777">
      <w:pPr>
        <w:spacing w:line="264" w:lineRule="auto"/>
        <w:rPr>
          <w:rFonts w:ascii="Calibri" w:hAnsi="Calibri" w:cs="Calibri"/>
          <w:snapToGrid/>
          <w:color w:val="000000" w:themeColor="text1"/>
          <w:szCs w:val="24"/>
        </w:rPr>
      </w:pPr>
    </w:p>
    <w:p w:rsidRPr="00160F42" w:rsidR="007F4106" w:rsidP="00160F42" w:rsidRDefault="007F4106" w14:paraId="6FFDDB34" w14:textId="066F5DD4">
      <w:pPr>
        <w:widowControl/>
        <w:spacing w:line="264" w:lineRule="auto"/>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The purpose of this policy is to provide employees and retirees with access to a comprehensive benefits package that includes insurance and voluntary coverage options. This policy establishes the framework for eligibility, enrollment, and continuation of benefits to ensure consistency, compliance, and clarity in benefits administration.</w:t>
      </w:r>
    </w:p>
    <w:p w:rsidRPr="00160F42" w:rsidR="00F90674" w:rsidP="45F76DDE" w:rsidRDefault="00F90674" w14:paraId="6A9BAD8F" w14:textId="77777777" w14:noSpellErr="1">
      <w:pPr>
        <w:widowControl w:val="1"/>
        <w:spacing w:line="264" w:lineRule="auto"/>
        <w:rPr>
          <w:rFonts w:ascii="Calibri" w:hAnsi="Calibri" w:cs="Calibri"/>
          <w:snapToGrid/>
          <w:color w:val="000000" w:themeColor="text1"/>
          <w14:ligatures w14:val="none"/>
        </w:rPr>
      </w:pPr>
    </w:p>
    <w:p w:rsidR="54D1CC5F" w:rsidP="45F76DDE" w:rsidRDefault="54D1CC5F" w14:paraId="67A52B71" w14:textId="5BA48DA1">
      <w:pPr>
        <w:widowControl w:val="1"/>
        <w:spacing w:line="264" w:lineRule="auto"/>
        <w:rPr>
          <w:rFonts w:ascii="Calibri" w:hAnsi="Calibri" w:cs="Calibri"/>
          <w:b w:val="1"/>
          <w:bCs w:val="1"/>
          <w:color w:val="000000" w:themeColor="text1" w:themeTint="FF" w:themeShade="FF"/>
        </w:rPr>
      </w:pPr>
      <w:r w:rsidRPr="45F76DDE" w:rsidR="54D1CC5F">
        <w:rPr>
          <w:rFonts w:ascii="Calibri" w:hAnsi="Calibri" w:cs="Calibri"/>
          <w:b w:val="1"/>
          <w:bCs w:val="1"/>
          <w:color w:val="000000" w:themeColor="text1" w:themeTint="FF" w:themeShade="FF"/>
        </w:rPr>
        <w:t>APPLICATION:</w:t>
      </w:r>
    </w:p>
    <w:p w:rsidR="45F76DDE" w:rsidP="45F76DDE" w:rsidRDefault="45F76DDE" w14:paraId="50F61945" w14:textId="19B5C877">
      <w:pPr>
        <w:widowControl w:val="1"/>
        <w:spacing w:line="264" w:lineRule="auto"/>
        <w:rPr>
          <w:rFonts w:ascii="Calibri" w:hAnsi="Calibri" w:cs="Calibri"/>
          <w:b w:val="0"/>
          <w:bCs w:val="0"/>
          <w:color w:val="000000" w:themeColor="text1" w:themeTint="FF" w:themeShade="FF"/>
        </w:rPr>
      </w:pPr>
    </w:p>
    <w:p w:rsidRPr="00160F42" w:rsidR="007F4106" w:rsidP="00160F42" w:rsidRDefault="007F4106" w14:paraId="239F33DE" w14:textId="77777777">
      <w:pPr>
        <w:widowControl/>
        <w:spacing w:line="264" w:lineRule="auto"/>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This policy applies to all regular full-time employees and eligible retirees of the City. Eligibility for coverage is subject to the terms of official plan documents, IRS regulations, and City policy.</w:t>
      </w:r>
    </w:p>
    <w:p w:rsidRPr="00160F42" w:rsidR="00585E9B" w:rsidP="00160F42" w:rsidRDefault="00585E9B" w14:paraId="3759D3B7" w14:textId="77777777">
      <w:pPr>
        <w:spacing w:line="264" w:lineRule="auto"/>
        <w:rPr>
          <w:rFonts w:ascii="Calibri" w:hAnsi="Calibri" w:cs="Calibri"/>
          <w:snapToGrid/>
          <w:color w:val="000000" w:themeColor="text1"/>
          <w:szCs w:val="24"/>
        </w:rPr>
      </w:pPr>
    </w:p>
    <w:p w:rsidRPr="00160F42" w:rsidR="007F4106" w:rsidP="00160F42" w:rsidRDefault="00E64A29" w14:paraId="5DC742F0" w14:textId="379DAF46">
      <w:pPr>
        <w:spacing w:line="264" w:lineRule="auto"/>
        <w:rPr>
          <w:rFonts w:ascii="Calibri" w:hAnsi="Calibri" w:cs="Calibri"/>
          <w:b/>
          <w:bCs/>
          <w:color w:val="000000" w:themeColor="text1"/>
          <w:szCs w:val="24"/>
        </w:rPr>
      </w:pPr>
      <w:r w:rsidRPr="00160F42">
        <w:rPr>
          <w:rFonts w:ascii="Calibri" w:hAnsi="Calibri" w:cs="Calibri"/>
          <w:b/>
          <w:bCs/>
          <w:color w:val="000000" w:themeColor="text1"/>
          <w:szCs w:val="24"/>
        </w:rPr>
        <w:t>DEFINITIONS:</w:t>
      </w:r>
    </w:p>
    <w:p w:rsidRPr="00160F42" w:rsidR="00585E9B" w:rsidP="00160F42" w:rsidRDefault="00585E9B" w14:paraId="2712ECF6" w14:textId="77777777">
      <w:pPr>
        <w:spacing w:line="264" w:lineRule="auto"/>
        <w:rPr>
          <w:rFonts w:ascii="Calibri" w:hAnsi="Calibri" w:cs="Calibri"/>
          <w:snapToGrid/>
          <w:color w:val="000000" w:themeColor="text1"/>
          <w:szCs w:val="24"/>
        </w:rPr>
      </w:pPr>
    </w:p>
    <w:p w:rsidRPr="00160F42" w:rsidR="007F4106" w:rsidP="00160F42" w:rsidRDefault="007F4106" w14:paraId="148794C7" w14:textId="77777777">
      <w:pPr>
        <w:pStyle w:val="ListParagraph"/>
        <w:widowControl/>
        <w:numPr>
          <w:ilvl w:val="0"/>
          <w:numId w:val="33"/>
        </w:numPr>
        <w:spacing w:line="264" w:lineRule="auto"/>
        <w:contextualSpacing w:val="0"/>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Active Employee: A regular full-time employee actively working for the City.</w:t>
      </w:r>
    </w:p>
    <w:p w:rsidRPr="00160F42" w:rsidR="00F90674" w:rsidP="00160F42" w:rsidRDefault="00F90674" w14:paraId="4755866E"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160F42" w:rsidR="007F4106" w:rsidP="00160F42" w:rsidRDefault="007F4106" w14:paraId="53CD7C86" w14:textId="0450382C">
      <w:pPr>
        <w:pStyle w:val="ListParagraph"/>
        <w:widowControl/>
        <w:numPr>
          <w:ilvl w:val="0"/>
          <w:numId w:val="33"/>
        </w:numPr>
        <w:spacing w:line="264" w:lineRule="auto"/>
        <w:contextualSpacing w:val="0"/>
        <w:rPr>
          <w:rFonts w:ascii="Calibri" w:hAnsi="Calibri" w:cs="Calibri"/>
          <w:snapToGrid/>
          <w:color w:val="000000" w:themeColor="text1"/>
          <w:szCs w:val="24"/>
          <w14:ligatures w14:val="none"/>
        </w:rPr>
      </w:pPr>
      <w:proofErr w:type="gramStart"/>
      <w:r w:rsidRPr="00160F42">
        <w:rPr>
          <w:rFonts w:ascii="Calibri" w:hAnsi="Calibri" w:cs="Calibri"/>
          <w:snapToGrid/>
          <w:color w:val="000000" w:themeColor="text1"/>
          <w:szCs w:val="24"/>
          <w14:ligatures w14:val="none"/>
        </w:rPr>
        <w:t>Retiree</w:t>
      </w:r>
      <w:proofErr w:type="gramEnd"/>
      <w:r w:rsidRPr="00160F42">
        <w:rPr>
          <w:rFonts w:ascii="Calibri" w:hAnsi="Calibri" w:cs="Calibri"/>
          <w:snapToGrid/>
          <w:color w:val="000000" w:themeColor="text1"/>
          <w:szCs w:val="24"/>
          <w14:ligatures w14:val="none"/>
        </w:rPr>
        <w:t xml:space="preserve">: A former employee who is eligible for benefits through the Texas Municipal Retirement System (TMRS) or who becomes eligible through COBRA continuation coverage. </w:t>
      </w:r>
    </w:p>
    <w:p w:rsidRPr="00160F42" w:rsidR="00F90674" w:rsidP="00160F42" w:rsidRDefault="00F90674" w14:paraId="2E4ECB48" w14:textId="77777777">
      <w:pPr>
        <w:widowControl/>
        <w:spacing w:line="264" w:lineRule="auto"/>
        <w:rPr>
          <w:rFonts w:ascii="Calibri" w:hAnsi="Calibri" w:cs="Calibri"/>
          <w:snapToGrid/>
          <w:color w:val="000000" w:themeColor="text1"/>
          <w:szCs w:val="24"/>
          <w14:ligatures w14:val="none"/>
        </w:rPr>
      </w:pPr>
    </w:p>
    <w:p w:rsidRPr="00160F42" w:rsidR="007F4106" w:rsidP="00160F42" w:rsidRDefault="007F4106" w14:paraId="04AF7804" w14:textId="57BFC3D9">
      <w:pPr>
        <w:pStyle w:val="ListParagraph"/>
        <w:widowControl/>
        <w:numPr>
          <w:ilvl w:val="0"/>
          <w:numId w:val="33"/>
        </w:numPr>
        <w:spacing w:line="264" w:lineRule="auto"/>
        <w:contextualSpacing w:val="0"/>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 xml:space="preserve">Qualifying Life Event (QLE): A significant event, such as marriage, birth, divorce, or loss of other coverage, </w:t>
      </w:r>
      <w:r w:rsidRPr="00160F42" w:rsidR="008D37AF">
        <w:rPr>
          <w:rFonts w:ascii="Calibri" w:hAnsi="Calibri" w:cs="Calibri"/>
          <w:snapToGrid/>
          <w:color w:val="000000" w:themeColor="text1"/>
          <w:szCs w:val="24"/>
          <w14:ligatures w14:val="none"/>
        </w:rPr>
        <w:t>which</w:t>
      </w:r>
      <w:r w:rsidRPr="00160F42">
        <w:rPr>
          <w:rFonts w:ascii="Calibri" w:hAnsi="Calibri" w:cs="Calibri"/>
          <w:snapToGrid/>
          <w:color w:val="000000" w:themeColor="text1"/>
          <w:szCs w:val="24"/>
          <w14:ligatures w14:val="none"/>
        </w:rPr>
        <w:t xml:space="preserve"> allows changes to </w:t>
      </w:r>
      <w:proofErr w:type="gramStart"/>
      <w:r w:rsidRPr="00160F42">
        <w:rPr>
          <w:rFonts w:ascii="Calibri" w:hAnsi="Calibri" w:cs="Calibri"/>
          <w:snapToGrid/>
          <w:color w:val="000000" w:themeColor="text1"/>
          <w:szCs w:val="24"/>
          <w14:ligatures w14:val="none"/>
        </w:rPr>
        <w:t>benefits</w:t>
      </w:r>
      <w:proofErr w:type="gramEnd"/>
      <w:r w:rsidRPr="00160F42">
        <w:rPr>
          <w:rFonts w:ascii="Calibri" w:hAnsi="Calibri" w:cs="Calibri"/>
          <w:snapToGrid/>
          <w:color w:val="000000" w:themeColor="text1"/>
          <w:szCs w:val="24"/>
          <w14:ligatures w14:val="none"/>
        </w:rPr>
        <w:t xml:space="preserve"> outside of the annual enrollment period, as defined by plan documents.</w:t>
      </w:r>
    </w:p>
    <w:p w:rsidRPr="00160F42" w:rsidR="00F90674" w:rsidP="00160F42" w:rsidRDefault="00F90674" w14:paraId="2FE01EC5"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160F42" w:rsidR="007F4106" w:rsidP="00160F42" w:rsidRDefault="007F4106" w14:paraId="20EDEF11" w14:textId="77777777">
      <w:pPr>
        <w:pStyle w:val="ListParagraph"/>
        <w:widowControl/>
        <w:numPr>
          <w:ilvl w:val="0"/>
          <w:numId w:val="33"/>
        </w:numPr>
        <w:spacing w:line="264" w:lineRule="auto"/>
        <w:contextualSpacing w:val="0"/>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Dependent: A lawful spouse or eligible child as defined by the plan’s summary plan description.</w:t>
      </w:r>
    </w:p>
    <w:p w:rsidRPr="00160F42" w:rsidR="00F90674" w:rsidP="00160F42" w:rsidRDefault="00F90674" w14:paraId="61AB8D50"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160F42" w:rsidR="007F4106" w:rsidP="00160F42" w:rsidRDefault="007F4106" w14:paraId="45097283" w14:textId="77777777">
      <w:pPr>
        <w:pStyle w:val="ListParagraph"/>
        <w:widowControl/>
        <w:numPr>
          <w:ilvl w:val="0"/>
          <w:numId w:val="33"/>
        </w:numPr>
        <w:spacing w:line="264" w:lineRule="auto"/>
        <w:contextualSpacing w:val="0"/>
        <w:rPr>
          <w:rFonts w:ascii="Calibri" w:hAnsi="Calibri" w:cs="Calibri"/>
          <w:snapToGrid/>
          <w:color w:val="000000" w:themeColor="text1"/>
          <w:szCs w:val="24"/>
          <w14:ligatures w14:val="none"/>
        </w:rPr>
      </w:pPr>
      <w:r w:rsidRPr="00160F42">
        <w:rPr>
          <w:rFonts w:ascii="Calibri" w:hAnsi="Calibri" w:cs="Calibri"/>
          <w:snapToGrid/>
          <w:color w:val="000000" w:themeColor="text1"/>
          <w:szCs w:val="24"/>
          <w14:ligatures w14:val="none"/>
        </w:rPr>
        <w:t xml:space="preserve">Annual Enrollment: A designated </w:t>
      </w:r>
      <w:proofErr w:type="gramStart"/>
      <w:r w:rsidRPr="00160F42">
        <w:rPr>
          <w:rFonts w:ascii="Calibri" w:hAnsi="Calibri" w:cs="Calibri"/>
          <w:snapToGrid/>
          <w:color w:val="000000" w:themeColor="text1"/>
          <w:szCs w:val="24"/>
          <w14:ligatures w14:val="none"/>
        </w:rPr>
        <w:t>period</w:t>
      </w:r>
      <w:proofErr w:type="gramEnd"/>
      <w:r w:rsidRPr="00160F42">
        <w:rPr>
          <w:rFonts w:ascii="Calibri" w:hAnsi="Calibri" w:cs="Calibri"/>
          <w:snapToGrid/>
          <w:color w:val="000000" w:themeColor="text1"/>
          <w:szCs w:val="24"/>
          <w14:ligatures w14:val="none"/>
        </w:rPr>
        <w:t xml:space="preserve"> each plan year when employees and retirees can review and make allowable changes to benefit coverage.</w:t>
      </w:r>
    </w:p>
    <w:p w:rsidRPr="00160F42" w:rsidR="00F90674" w:rsidP="00160F42" w:rsidRDefault="00F90674" w14:paraId="6D3B3B86" w14:textId="77777777">
      <w:pPr>
        <w:pStyle w:val="ListParagraph"/>
        <w:widowControl/>
        <w:spacing w:line="264" w:lineRule="auto"/>
        <w:contextualSpacing w:val="0"/>
        <w:rPr>
          <w:rFonts w:ascii="Calibri" w:hAnsi="Calibri" w:cs="Calibri"/>
          <w:snapToGrid/>
          <w:color w:val="000000" w:themeColor="text1"/>
          <w:szCs w:val="24"/>
          <w14:ligatures w14:val="none"/>
        </w:rPr>
      </w:pPr>
    </w:p>
    <w:p w:rsidRPr="00160F42" w:rsidR="007F4106" w:rsidP="45F76DDE" w:rsidRDefault="007F4106" w14:paraId="405FE22E" w14:textId="173A90A9">
      <w:pPr>
        <w:pStyle w:val="ListParagraph"/>
        <w:widowControl w:val="1"/>
        <w:numPr>
          <w:ilvl w:val="0"/>
          <w:numId w:val="33"/>
        </w:numPr>
        <w:spacing w:line="264" w:lineRule="auto"/>
        <w:rPr>
          <w:rFonts w:ascii="Calibri" w:hAnsi="Calibri" w:cs="Calibri"/>
          <w:snapToGrid/>
          <w:color w:val="000000" w:themeColor="text1"/>
          <w14:ligatures w14:val="none"/>
        </w:rPr>
      </w:pPr>
      <w:r w:rsidRPr="45F76DDE" w:rsidR="007F4106">
        <w:rPr>
          <w:rFonts w:ascii="Calibri" w:hAnsi="Calibri" w:cs="Calibri"/>
          <w:snapToGrid/>
          <w:color w:val="000000" w:themeColor="text1"/>
          <w14:ligatures w14:val="none"/>
        </w:rPr>
        <w:t xml:space="preserve">COBRA: A federally mandated program that allows temporary continuation of health coverage after employment </w:t>
      </w:r>
      <w:r w:rsidRPr="45F76DDE" w:rsidR="5D876F4E">
        <w:rPr>
          <w:rFonts w:ascii="Calibri" w:hAnsi="Calibri" w:cs="Calibri"/>
          <w:snapToGrid/>
          <w:color w:val="000000" w:themeColor="text1"/>
          <w14:ligatures w14:val="none"/>
        </w:rPr>
        <w:t xml:space="preserve">or benefit </w:t>
      </w:r>
      <w:r w:rsidRPr="45F76DDE" w:rsidR="5D876F4E">
        <w:rPr>
          <w:rFonts w:ascii="Calibri" w:hAnsi="Calibri" w:cs="Calibri"/>
          <w:snapToGrid/>
          <w:color w:val="000000" w:themeColor="text1"/>
          <w14:ligatures w14:val="none"/>
        </w:rPr>
        <w:t>eligibility</w:t>
      </w:r>
      <w:r w:rsidRPr="45F76DDE" w:rsidR="5D876F4E">
        <w:rPr>
          <w:rFonts w:ascii="Calibri" w:hAnsi="Calibri" w:cs="Calibri"/>
          <w:snapToGrid/>
          <w:color w:val="000000" w:themeColor="text1"/>
          <w14:ligatures w14:val="none"/>
        </w:rPr>
        <w:t xml:space="preserve"> </w:t>
      </w:r>
      <w:r w:rsidRPr="45F76DDE" w:rsidR="007F4106">
        <w:rPr>
          <w:rFonts w:ascii="Calibri" w:hAnsi="Calibri" w:cs="Calibri"/>
          <w:snapToGrid/>
          <w:color w:val="000000" w:themeColor="text1"/>
          <w14:ligatures w14:val="none"/>
        </w:rPr>
        <w:t>ends.</w:t>
      </w:r>
    </w:p>
    <w:p w:rsidRPr="00160F42" w:rsidR="007F4106" w:rsidP="00160F42" w:rsidRDefault="007F4106" w14:paraId="11A5EEF0" w14:textId="77777777">
      <w:pPr>
        <w:widowControl/>
        <w:spacing w:line="264" w:lineRule="auto"/>
        <w:rPr>
          <w:rFonts w:ascii="Calibri" w:hAnsi="Calibri" w:cs="Calibri"/>
          <w:snapToGrid/>
          <w:color w:val="000000" w:themeColor="text1"/>
          <w:szCs w:val="24"/>
          <w14:ligatures w14:val="none"/>
        </w:rPr>
      </w:pPr>
    </w:p>
    <w:p w:rsidRPr="00160F42" w:rsidR="007F4106" w:rsidP="00160F42" w:rsidRDefault="00E64A29" w14:paraId="5225F096" w14:textId="7B1C0166">
      <w:pPr>
        <w:spacing w:line="264" w:lineRule="auto"/>
        <w:rPr>
          <w:rFonts w:ascii="Calibri" w:hAnsi="Calibri" w:cs="Calibri"/>
          <w:b/>
          <w:bCs/>
          <w:color w:val="000000" w:themeColor="text1"/>
          <w:szCs w:val="24"/>
        </w:rPr>
      </w:pPr>
      <w:r w:rsidRPr="00160F42">
        <w:rPr>
          <w:rFonts w:ascii="Calibri" w:hAnsi="Calibri" w:cs="Calibri"/>
          <w:b/>
          <w:bCs/>
          <w:color w:val="000000" w:themeColor="text1"/>
          <w:szCs w:val="24"/>
        </w:rPr>
        <w:t>PROCEDURES:</w:t>
      </w:r>
    </w:p>
    <w:p w:rsidRPr="00160F42" w:rsidR="00585E9B" w:rsidP="00160F42" w:rsidRDefault="00585E9B" w14:paraId="290E3B3D" w14:textId="77777777">
      <w:pPr>
        <w:spacing w:line="264" w:lineRule="auto"/>
        <w:rPr>
          <w:rFonts w:ascii="Calibri" w:hAnsi="Calibri" w:cs="Calibri"/>
          <w:snapToGrid/>
          <w:color w:val="000000" w:themeColor="text1"/>
          <w:szCs w:val="24"/>
        </w:rPr>
      </w:pPr>
    </w:p>
    <w:p w:rsidRPr="00160F42" w:rsidR="00F90674" w:rsidP="00160F42" w:rsidRDefault="007F4106" w14:paraId="6E536CD8" w14:textId="77777777">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Eligibility and Coverage for Active Employees</w:t>
      </w:r>
    </w:p>
    <w:p w:rsidRPr="00160F42" w:rsidR="00F90674" w:rsidP="00160F42" w:rsidRDefault="007F4106" w14:paraId="2591427E"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 xml:space="preserve">Regular full-time employees are eligible for benefits beginning on the first day </w:t>
      </w:r>
      <w:r w:rsidRPr="00160F42">
        <w:rPr>
          <w:rFonts w:ascii="Calibri" w:hAnsi="Calibri" w:cs="Calibri"/>
          <w:snapToGrid/>
          <w:color w:val="000000" w:themeColor="text1"/>
          <w:szCs w:val="24"/>
          <w14:ligatures w14:val="none"/>
        </w:rPr>
        <w:lastRenderedPageBreak/>
        <w:t xml:space="preserve">(or insert your eligibility) of the month following their </w:t>
      </w:r>
      <w:proofErr w:type="gramStart"/>
      <w:r w:rsidRPr="00160F42">
        <w:rPr>
          <w:rFonts w:ascii="Calibri" w:hAnsi="Calibri" w:cs="Calibri"/>
          <w:snapToGrid/>
          <w:color w:val="000000" w:themeColor="text1"/>
          <w:szCs w:val="24"/>
          <w14:ligatures w14:val="none"/>
        </w:rPr>
        <w:t>start</w:t>
      </w:r>
      <w:proofErr w:type="gramEnd"/>
      <w:r w:rsidRPr="00160F42">
        <w:rPr>
          <w:rFonts w:ascii="Calibri" w:hAnsi="Calibri" w:cs="Calibri"/>
          <w:snapToGrid/>
          <w:color w:val="000000" w:themeColor="text1"/>
          <w:szCs w:val="24"/>
          <w14:ligatures w14:val="none"/>
        </w:rPr>
        <w:t xml:space="preserve"> date.</w:t>
      </w:r>
    </w:p>
    <w:p w:rsidRPr="00160F42" w:rsidR="00F90674" w:rsidP="00160F42" w:rsidRDefault="007F4106" w14:paraId="34BC0B2F"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The City offers health, dental, life, and other optional insurance plans, including vision, disability, and accident coverage.</w:t>
      </w:r>
    </w:p>
    <w:p w:rsidRPr="00160F42" w:rsidR="00F90674" w:rsidP="00160F42" w:rsidRDefault="007F4106" w14:paraId="643A4D96"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Employee premiums are deducted pre-tax under IRS Section 125.</w:t>
      </w:r>
    </w:p>
    <w:p w:rsidRPr="00160F42" w:rsidR="00F90674" w:rsidP="00160F42" w:rsidRDefault="007F4106" w14:paraId="65FF169C"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Eligibility for benefits may be suspended during unpaid leave.</w:t>
      </w:r>
    </w:p>
    <w:p w:rsidRPr="00160F42" w:rsidR="007F4106" w:rsidP="00160F42" w:rsidRDefault="007F4106" w14:paraId="142D7B1A" w14:textId="0C2E444E">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Changes to coverage may only be made during annual enrollment or within 31 days of a qualifying life event.</w:t>
      </w:r>
    </w:p>
    <w:p w:rsidRPr="00160F42" w:rsidR="00F90674" w:rsidP="00160F42" w:rsidRDefault="00F90674" w14:paraId="2F7C30F0" w14:textId="77777777">
      <w:pPr>
        <w:pStyle w:val="ListParagraph"/>
        <w:spacing w:line="264" w:lineRule="auto"/>
        <w:ind w:left="1440"/>
        <w:contextualSpacing w:val="0"/>
        <w:rPr>
          <w:rFonts w:ascii="Calibri" w:hAnsi="Calibri" w:cs="Calibri"/>
          <w:snapToGrid/>
          <w:color w:val="000000" w:themeColor="text1"/>
          <w:szCs w:val="24"/>
        </w:rPr>
      </w:pPr>
    </w:p>
    <w:p w:rsidRPr="00160F42" w:rsidR="00A72F57" w:rsidP="00160F42" w:rsidRDefault="007F4106" w14:paraId="031DD5FE" w14:textId="2AA71F0E">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Qualifying Life Events (QLE) (Employees)</w:t>
      </w:r>
    </w:p>
    <w:p w:rsidRPr="00160F42" w:rsidR="00A72F57" w:rsidP="00160F42" w:rsidRDefault="007F4106" w14:paraId="5A745589"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Employees may make off-cycle benefit changes if a QLE occurs, consistent with the type of event (gain or loss of eligibility).</w:t>
      </w:r>
    </w:p>
    <w:p w:rsidRPr="00160F42" w:rsidR="00A72F57" w:rsidP="00160F42" w:rsidRDefault="007F4106" w14:paraId="5DA10C5D"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QLE-related changes must be made within 31 days of the event.</w:t>
      </w:r>
    </w:p>
    <w:p w:rsidRPr="00160F42" w:rsidR="00A72F57" w:rsidP="00160F42" w:rsidRDefault="007F4106" w14:paraId="355CFEBB"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Missed deadlines will result in no changes, regardless of event type.</w:t>
      </w:r>
    </w:p>
    <w:p w:rsidRPr="00160F42" w:rsidR="00A72F57" w:rsidP="00160F42" w:rsidRDefault="00A72F57" w14:paraId="17FD81BF" w14:textId="77777777">
      <w:pPr>
        <w:pStyle w:val="ListParagraph"/>
        <w:spacing w:line="264" w:lineRule="auto"/>
        <w:ind w:left="1440"/>
        <w:contextualSpacing w:val="0"/>
        <w:rPr>
          <w:rFonts w:ascii="Calibri" w:hAnsi="Calibri" w:cs="Calibri"/>
          <w:snapToGrid/>
          <w:color w:val="000000" w:themeColor="text1"/>
          <w:szCs w:val="24"/>
        </w:rPr>
      </w:pPr>
    </w:p>
    <w:p w:rsidRPr="00160F42" w:rsidR="00A72F57" w:rsidP="00160F42" w:rsidRDefault="007F4106" w14:paraId="1CB4B2A8" w14:textId="77777777">
      <w:pPr>
        <w:pStyle w:val="ListParagraph"/>
        <w:numPr>
          <w:ilvl w:val="0"/>
          <w:numId w:val="34"/>
        </w:numPr>
        <w:spacing w:line="264" w:lineRule="auto"/>
        <w:contextualSpacing w:val="0"/>
        <w:rPr>
          <w:rFonts w:ascii="Calibri" w:hAnsi="Calibri" w:cs="Calibri"/>
          <w:snapToGrid/>
          <w:color w:val="000000" w:themeColor="text1"/>
          <w:szCs w:val="24"/>
        </w:rPr>
      </w:pPr>
      <w:proofErr w:type="gramStart"/>
      <w:r w:rsidRPr="00160F42">
        <w:rPr>
          <w:rFonts w:ascii="Calibri" w:hAnsi="Calibri" w:cs="Calibri"/>
          <w:snapToGrid/>
          <w:color w:val="000000" w:themeColor="text1"/>
          <w:szCs w:val="24"/>
        </w:rPr>
        <w:t>Retiree</w:t>
      </w:r>
      <w:proofErr w:type="gramEnd"/>
      <w:r w:rsidRPr="00160F42">
        <w:rPr>
          <w:rFonts w:ascii="Calibri" w:hAnsi="Calibri" w:cs="Calibri"/>
          <w:snapToGrid/>
          <w:color w:val="000000" w:themeColor="text1"/>
          <w:szCs w:val="24"/>
        </w:rPr>
        <w:t xml:space="preserve"> Insurance Benefits</w:t>
      </w:r>
    </w:p>
    <w:p w:rsidRPr="00160F42" w:rsidR="00A72F57" w:rsidP="00160F42" w:rsidRDefault="007F4106" w14:paraId="234273BA"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Retirees must be enrolled in a City plan as of the day before retirement eligibility or have COBRA coverage on that date.</w:t>
      </w:r>
    </w:p>
    <w:p w:rsidRPr="00160F42" w:rsidR="00A72F57" w:rsidP="00160F42" w:rsidRDefault="007F4106" w14:paraId="579689E9"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Enrollment in retiree benefits must occur within 31 days of the retirement eligibility date.</w:t>
      </w:r>
    </w:p>
    <w:p w:rsidRPr="00160F42" w:rsidR="00A72F57" w:rsidP="00160F42" w:rsidRDefault="007F4106" w14:paraId="78F5A091"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Once a plan (e.g., dental, medical) is dropped, retirees may not re-enroll in that plan later.</w:t>
      </w:r>
    </w:p>
    <w:p w:rsidRPr="00160F42" w:rsidR="00A80EA4" w:rsidP="00160F42" w:rsidRDefault="007F4106" w14:paraId="23AECC89"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Dependents may be covered if they meet eligibility and are properly enrolled as dependents at the time of retirement.</w:t>
      </w:r>
    </w:p>
    <w:p w:rsidRPr="00160F42" w:rsidR="00A80EA4" w:rsidP="00160F42" w:rsidRDefault="00A80EA4" w14:paraId="2D9ED134" w14:textId="77777777">
      <w:pPr>
        <w:pStyle w:val="ListParagraph"/>
        <w:spacing w:line="264" w:lineRule="auto"/>
        <w:contextualSpacing w:val="0"/>
        <w:rPr>
          <w:rFonts w:ascii="Calibri" w:hAnsi="Calibri" w:cs="Calibri"/>
          <w:snapToGrid/>
          <w:color w:val="000000" w:themeColor="text1"/>
          <w:szCs w:val="24"/>
        </w:rPr>
      </w:pPr>
    </w:p>
    <w:p w:rsidRPr="00160F42" w:rsidR="00A80EA4" w:rsidP="00160F42" w:rsidRDefault="007F4106" w14:paraId="6619819F" w14:textId="77777777">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Qualifying Life Events (QLE) (Retirees)</w:t>
      </w:r>
    </w:p>
    <w:p w:rsidRPr="00160F42" w:rsidR="003076A3" w:rsidP="00160F42" w:rsidRDefault="007F4106" w14:paraId="01342F23"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Retirees may only change coverage due to a QLE or during annual enrollment.</w:t>
      </w:r>
    </w:p>
    <w:p w:rsidRPr="00160F42" w:rsidR="003076A3" w:rsidP="00160F42" w:rsidRDefault="007F4106" w14:paraId="5C47DBD8"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QLE changes must be consistent with the event and completed within 31 days.</w:t>
      </w:r>
    </w:p>
    <w:p w:rsidRPr="00160F42" w:rsidR="003076A3" w:rsidP="00160F42" w:rsidRDefault="007F4106" w14:paraId="3B3FFC9F"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No new dependents may be added after the retiree's death, even with a qualifying event.</w:t>
      </w:r>
    </w:p>
    <w:p w:rsidRPr="00160F42" w:rsidR="003076A3" w:rsidP="00160F42" w:rsidRDefault="003076A3" w14:paraId="300313E5" w14:textId="77777777">
      <w:pPr>
        <w:pStyle w:val="ListParagraph"/>
        <w:spacing w:line="264" w:lineRule="auto"/>
        <w:ind w:left="1440"/>
        <w:contextualSpacing w:val="0"/>
        <w:rPr>
          <w:rFonts w:ascii="Calibri" w:hAnsi="Calibri" w:cs="Calibri"/>
          <w:snapToGrid/>
          <w:color w:val="000000" w:themeColor="text1"/>
          <w:szCs w:val="24"/>
        </w:rPr>
      </w:pPr>
    </w:p>
    <w:p w:rsidRPr="00160F42" w:rsidR="009843B3" w:rsidP="00160F42" w:rsidRDefault="007F4106" w14:paraId="5FBA9683" w14:textId="77777777">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Surviving Dependents and Medicare Transition</w:t>
      </w:r>
    </w:p>
    <w:p w:rsidRPr="00160F42" w:rsidR="009843B3" w:rsidP="00160F42" w:rsidRDefault="007F4106" w14:paraId="2E3520C9"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Surviving spouses and dependents may continue coverage if:</w:t>
      </w:r>
    </w:p>
    <w:p w:rsidRPr="00160F42" w:rsidR="009843B3" w:rsidP="00160F42" w:rsidRDefault="007F4106" w14:paraId="6C5F56E4" w14:textId="77777777">
      <w:pPr>
        <w:pStyle w:val="ListParagraph"/>
        <w:numPr>
          <w:ilvl w:val="2"/>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Enrolled at the time of the retiree’s death,</w:t>
      </w:r>
    </w:p>
    <w:p w:rsidRPr="00160F42" w:rsidR="009843B3" w:rsidP="00160F42" w:rsidRDefault="007F4106" w14:paraId="61A821AA" w14:textId="77777777">
      <w:pPr>
        <w:pStyle w:val="ListParagraph"/>
        <w:numPr>
          <w:ilvl w:val="2"/>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Meeting eligibility requirements,</w:t>
      </w:r>
    </w:p>
    <w:p w:rsidRPr="00160F42" w:rsidR="009843B3" w:rsidP="00160F42" w:rsidRDefault="007F4106" w14:paraId="3A4E9F2C" w14:textId="77777777">
      <w:pPr>
        <w:pStyle w:val="ListParagraph"/>
        <w:numPr>
          <w:ilvl w:val="2"/>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Paying premiums on time.</w:t>
      </w:r>
    </w:p>
    <w:p w:rsidRPr="00160F42" w:rsidR="009843B3" w:rsidP="00160F42" w:rsidRDefault="007F4106" w14:paraId="119712D6"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 xml:space="preserve">Discontinuation of coverage will result in </w:t>
      </w:r>
      <w:proofErr w:type="gramStart"/>
      <w:r w:rsidRPr="00160F42">
        <w:rPr>
          <w:rFonts w:ascii="Calibri" w:hAnsi="Calibri" w:cs="Calibri"/>
          <w:snapToGrid/>
          <w:color w:val="000000" w:themeColor="text1"/>
          <w:szCs w:val="24"/>
          <w14:ligatures w14:val="none"/>
        </w:rPr>
        <w:t>loss</w:t>
      </w:r>
      <w:proofErr w:type="gramEnd"/>
      <w:r w:rsidRPr="00160F42">
        <w:rPr>
          <w:rFonts w:ascii="Calibri" w:hAnsi="Calibri" w:cs="Calibri"/>
          <w:snapToGrid/>
          <w:color w:val="000000" w:themeColor="text1"/>
          <w:szCs w:val="24"/>
          <w14:ligatures w14:val="none"/>
        </w:rPr>
        <w:t xml:space="preserve"> of future eligibility.</w:t>
      </w:r>
    </w:p>
    <w:p w:rsidRPr="00160F42" w:rsidR="009843B3" w:rsidP="00160F42" w:rsidRDefault="007F4106" w14:paraId="570B4328"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New dependents cannot be added after the retiree’s death.</w:t>
      </w:r>
    </w:p>
    <w:p w:rsidRPr="00160F42" w:rsidR="009843B3" w:rsidP="00160F42" w:rsidRDefault="009843B3" w14:paraId="0EE64154" w14:textId="77777777">
      <w:pPr>
        <w:pStyle w:val="ListParagraph"/>
        <w:spacing w:line="264" w:lineRule="auto"/>
        <w:ind w:left="1440"/>
        <w:contextualSpacing w:val="0"/>
        <w:rPr>
          <w:rFonts w:ascii="Calibri" w:hAnsi="Calibri" w:cs="Calibri"/>
          <w:snapToGrid/>
          <w:color w:val="000000" w:themeColor="text1"/>
          <w:szCs w:val="24"/>
        </w:rPr>
      </w:pPr>
    </w:p>
    <w:p w:rsidRPr="00160F42" w:rsidR="009843B3" w:rsidP="00160F42" w:rsidRDefault="007F4106" w14:paraId="2BC9DE78" w14:textId="77777777">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Annual Enrollment (Retirees)</w:t>
      </w:r>
    </w:p>
    <w:p w:rsidRPr="00160F42" w:rsidR="009843B3" w:rsidP="00160F42" w:rsidRDefault="007F4106" w14:paraId="6B530838"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 xml:space="preserve">Retirees may update current coverage or drop dependents during annual </w:t>
      </w:r>
      <w:r w:rsidRPr="00160F42">
        <w:rPr>
          <w:rFonts w:ascii="Calibri" w:hAnsi="Calibri" w:cs="Calibri"/>
          <w:snapToGrid/>
          <w:color w:val="000000" w:themeColor="text1"/>
          <w:szCs w:val="24"/>
          <w14:ligatures w14:val="none"/>
        </w:rPr>
        <w:lastRenderedPageBreak/>
        <w:t>enrollment.</w:t>
      </w:r>
    </w:p>
    <w:p w:rsidRPr="00160F42" w:rsidR="009843B3" w:rsidP="45F76DDE" w:rsidRDefault="007F4106" w14:paraId="571FC57D" w14:textId="71B986F9">
      <w:pPr>
        <w:pStyle w:val="ListParagraph"/>
        <w:numPr>
          <w:ilvl w:val="1"/>
          <w:numId w:val="34"/>
        </w:numPr>
        <w:spacing w:line="264" w:lineRule="auto"/>
        <w:rPr>
          <w:rFonts w:ascii="Calibri" w:hAnsi="Calibri" w:cs="Calibri"/>
          <w:snapToGrid/>
          <w:color w:val="000000" w:themeColor="text1"/>
        </w:rPr>
      </w:pPr>
      <w:r w:rsidRPr="45F76DDE" w:rsidR="007F4106">
        <w:rPr>
          <w:rFonts w:ascii="Calibri" w:hAnsi="Calibri" w:cs="Calibri"/>
          <w:snapToGrid/>
          <w:color w:val="000000" w:themeColor="text1"/>
          <w14:ligatures w14:val="none"/>
        </w:rPr>
        <w:t xml:space="preserve">No new coverage types or new dependents may be added during </w:t>
      </w:r>
      <w:r w:rsidRPr="45F76DDE" w:rsidR="007F4106">
        <w:rPr>
          <w:rFonts w:ascii="Calibri" w:hAnsi="Calibri" w:cs="Calibri"/>
          <w:snapToGrid/>
          <w:color w:val="000000" w:themeColor="text1"/>
          <w14:ligatures w14:val="none"/>
        </w:rPr>
        <w:t xml:space="preserve">this </w:t>
      </w:r>
      <w:r w:rsidRPr="45F76DDE" w:rsidR="1994E316">
        <w:rPr>
          <w:rFonts w:ascii="Calibri" w:hAnsi="Calibri" w:cs="Calibri"/>
          <w:snapToGrid/>
          <w:color w:val="000000" w:themeColor="text1"/>
          <w14:ligatures w14:val="none"/>
        </w:rPr>
        <w:t xml:space="preserve">open enrollment </w:t>
      </w:r>
      <w:r w:rsidRPr="45F76DDE" w:rsidR="007F4106">
        <w:rPr>
          <w:rFonts w:ascii="Calibri" w:hAnsi="Calibri" w:cs="Calibri"/>
          <w:snapToGrid/>
          <w:color w:val="000000" w:themeColor="text1"/>
          <w14:ligatures w14:val="none"/>
        </w:rPr>
        <w:t>period</w:t>
      </w:r>
      <w:r w:rsidRPr="45F76DDE" w:rsidR="007F4106">
        <w:rPr>
          <w:rFonts w:ascii="Calibri" w:hAnsi="Calibri" w:cs="Calibri"/>
          <w:snapToGrid/>
          <w:color w:val="000000" w:themeColor="text1"/>
          <w14:ligatures w14:val="none"/>
        </w:rPr>
        <w:t>.</w:t>
      </w:r>
    </w:p>
    <w:p w:rsidRPr="00160F42" w:rsidR="009843B3" w:rsidP="00160F42" w:rsidRDefault="007F4106" w14:paraId="6D8B31CD"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Failure to complete and return required forms will result in termination of coverage.</w:t>
      </w:r>
    </w:p>
    <w:p w:rsidRPr="00160F42" w:rsidR="006B0D7D" w:rsidP="00160F42" w:rsidRDefault="006B0D7D" w14:paraId="47F91E5C" w14:textId="77777777">
      <w:pPr>
        <w:pStyle w:val="ListParagraph"/>
        <w:spacing w:line="264" w:lineRule="auto"/>
        <w:ind w:left="1440"/>
        <w:contextualSpacing w:val="0"/>
        <w:rPr>
          <w:rFonts w:ascii="Calibri" w:hAnsi="Calibri" w:cs="Calibri"/>
          <w:snapToGrid/>
          <w:color w:val="000000" w:themeColor="text1"/>
          <w:szCs w:val="24"/>
        </w:rPr>
      </w:pPr>
    </w:p>
    <w:p w:rsidRPr="00160F42" w:rsidR="006B0D7D" w:rsidP="00160F42" w:rsidRDefault="007F4106" w14:paraId="68D57D82" w14:textId="77777777">
      <w:pPr>
        <w:pStyle w:val="ListParagraph"/>
        <w:numPr>
          <w:ilvl w:val="0"/>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rPr>
        <w:t>Premium Payments (Retirees)</w:t>
      </w:r>
    </w:p>
    <w:p w:rsidRPr="00160F42" w:rsidR="006B0D7D" w:rsidP="00160F42" w:rsidRDefault="007F4106" w14:paraId="2BA26C20"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Retirees must pay premiums on time to maintain coverage.</w:t>
      </w:r>
    </w:p>
    <w:p w:rsidRPr="00160F42" w:rsidR="006B0D7D" w:rsidP="00160F42" w:rsidRDefault="007F4106" w14:paraId="26B177C8"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 xml:space="preserve">Payments are due </w:t>
      </w:r>
      <w:proofErr w:type="gramStart"/>
      <w:r w:rsidRPr="00160F42">
        <w:rPr>
          <w:rFonts w:ascii="Calibri" w:hAnsi="Calibri" w:cs="Calibri"/>
          <w:snapToGrid/>
          <w:color w:val="000000" w:themeColor="text1"/>
          <w:szCs w:val="24"/>
          <w14:ligatures w14:val="none"/>
        </w:rPr>
        <w:t>by</w:t>
      </w:r>
      <w:proofErr w:type="gramEnd"/>
      <w:r w:rsidRPr="00160F42">
        <w:rPr>
          <w:rFonts w:ascii="Calibri" w:hAnsi="Calibri" w:cs="Calibri"/>
          <w:snapToGrid/>
          <w:color w:val="000000" w:themeColor="text1"/>
          <w:szCs w:val="24"/>
          <w14:ligatures w14:val="none"/>
        </w:rPr>
        <w:t xml:space="preserve"> the last business day of each month.</w:t>
      </w:r>
    </w:p>
    <w:p w:rsidRPr="00160F42" w:rsidR="006B0D7D" w:rsidP="00160F42" w:rsidRDefault="007F4106" w14:paraId="701F4C56" w14:textId="777777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 xml:space="preserve">Late or returned payments will result in </w:t>
      </w:r>
      <w:r w:rsidRPr="00160F42" w:rsidR="00FD7445">
        <w:rPr>
          <w:rFonts w:ascii="Calibri" w:hAnsi="Calibri" w:cs="Calibri"/>
          <w:snapToGrid/>
          <w:color w:val="000000" w:themeColor="text1"/>
          <w:szCs w:val="24"/>
          <w14:ligatures w14:val="none"/>
        </w:rPr>
        <w:t>cancellation of coverage</w:t>
      </w:r>
      <w:r w:rsidRPr="00160F42">
        <w:rPr>
          <w:rFonts w:ascii="Calibri" w:hAnsi="Calibri" w:cs="Calibri"/>
          <w:snapToGrid/>
          <w:color w:val="000000" w:themeColor="text1"/>
          <w:szCs w:val="24"/>
          <w14:ligatures w14:val="none"/>
        </w:rPr>
        <w:t>.</w:t>
      </w:r>
    </w:p>
    <w:p w:rsidRPr="00160F42" w:rsidR="007F4106" w:rsidP="00160F42" w:rsidRDefault="007F4106" w14:paraId="50E9ADAE" w14:textId="56A76D77">
      <w:pPr>
        <w:pStyle w:val="ListParagraph"/>
        <w:numPr>
          <w:ilvl w:val="1"/>
          <w:numId w:val="34"/>
        </w:numPr>
        <w:spacing w:line="264" w:lineRule="auto"/>
        <w:contextualSpacing w:val="0"/>
        <w:rPr>
          <w:rFonts w:ascii="Calibri" w:hAnsi="Calibri" w:cs="Calibri"/>
          <w:snapToGrid/>
          <w:color w:val="000000" w:themeColor="text1"/>
          <w:szCs w:val="24"/>
        </w:rPr>
      </w:pPr>
      <w:r w:rsidRPr="00160F42">
        <w:rPr>
          <w:rFonts w:ascii="Calibri" w:hAnsi="Calibri" w:cs="Calibri"/>
          <w:snapToGrid/>
          <w:color w:val="000000" w:themeColor="text1"/>
          <w:szCs w:val="24"/>
          <w14:ligatures w14:val="none"/>
        </w:rPr>
        <w:t>Reinstatement appeals may be submitted to the City Manager or Administrator’s Office.</w:t>
      </w:r>
    </w:p>
    <w:sectPr w:rsidRPr="00160F42" w:rsidR="007F410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D3E"/>
    <w:multiLevelType w:val="hybridMultilevel"/>
    <w:tmpl w:val="02642C1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1121F"/>
    <w:multiLevelType w:val="hybridMultilevel"/>
    <w:tmpl w:val="BEFC465A"/>
    <w:lvl w:ilvl="0" w:tplc="8F3A055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6C60"/>
    <w:multiLevelType w:val="multilevel"/>
    <w:tmpl w:val="E266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20989"/>
    <w:multiLevelType w:val="hybridMultilevel"/>
    <w:tmpl w:val="6DEA2958"/>
    <w:lvl w:ilvl="0" w:tplc="04090015">
      <w:start w:val="1"/>
      <w:numFmt w:val="upperLetter"/>
      <w:lvlText w:val="%1."/>
      <w:lvlJc w:val="left"/>
      <w:pPr>
        <w:tabs>
          <w:tab w:val="num" w:pos="864"/>
        </w:tabs>
        <w:ind w:left="864" w:hanging="432"/>
      </w:pPr>
      <w:rPr>
        <w:rFonts w:hint="default"/>
        <w:b w:val="0"/>
        <w:i w:val="0"/>
      </w:rPr>
    </w:lvl>
    <w:lvl w:ilvl="1" w:tplc="5130F1CA">
      <w:start w:val="1"/>
      <w:numFmt w:val="decimal"/>
      <w:lvlText w:val="%2."/>
      <w:lvlJc w:val="left"/>
      <w:pPr>
        <w:tabs>
          <w:tab w:val="num" w:pos="1296"/>
        </w:tabs>
        <w:ind w:left="1296" w:hanging="432"/>
      </w:pPr>
      <w:rPr>
        <w:rFonts w:hint="default"/>
        <w:b w:val="0"/>
        <w:i w:val="0"/>
      </w:rPr>
    </w:lvl>
    <w:lvl w:ilvl="2" w:tplc="1C4AADB0">
      <w:start w:val="4"/>
      <w:numFmt w:val="lowerLetter"/>
      <w:lvlText w:val="%3."/>
      <w:lvlJc w:val="left"/>
      <w:pPr>
        <w:tabs>
          <w:tab w:val="num" w:pos="1296"/>
        </w:tabs>
        <w:ind w:left="1296"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A222D"/>
    <w:multiLevelType w:val="hybridMultilevel"/>
    <w:tmpl w:val="8606010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D26DE"/>
    <w:multiLevelType w:val="hybridMultilevel"/>
    <w:tmpl w:val="17C8D0A2"/>
    <w:lvl w:ilvl="0" w:tplc="DBA85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F0574"/>
    <w:multiLevelType w:val="hybridMultilevel"/>
    <w:tmpl w:val="AE8A94B2"/>
    <w:lvl w:ilvl="0" w:tplc="D1C2805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A6595"/>
    <w:multiLevelType w:val="hybridMultilevel"/>
    <w:tmpl w:val="89CE4876"/>
    <w:lvl w:ilvl="0" w:tplc="E38CEDCC">
      <w:start w:val="1"/>
      <w:numFmt w:val="decimal"/>
      <w:lvlText w:val="%1."/>
      <w:lvlJc w:val="left"/>
      <w:pPr>
        <w:tabs>
          <w:tab w:val="num" w:pos="1296"/>
        </w:tabs>
        <w:ind w:left="1296"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44609"/>
    <w:multiLevelType w:val="multilevel"/>
    <w:tmpl w:val="08D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B3472"/>
    <w:multiLevelType w:val="hybridMultilevel"/>
    <w:tmpl w:val="70DAF012"/>
    <w:lvl w:ilvl="0" w:tplc="0409000F">
      <w:start w:val="1"/>
      <w:numFmt w:val="decimal"/>
      <w:lvlText w:val="%1."/>
      <w:lvlJc w:val="left"/>
      <w:pPr>
        <w:tabs>
          <w:tab w:val="num" w:pos="1296"/>
        </w:tabs>
        <w:ind w:left="1296"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D3151"/>
    <w:multiLevelType w:val="hybridMultilevel"/>
    <w:tmpl w:val="A60487AC"/>
    <w:lvl w:ilvl="0" w:tplc="A63E460A">
      <w:start w:val="1"/>
      <w:numFmt w:val="lowerLetter"/>
      <w:lvlText w:val="%1."/>
      <w:lvlJc w:val="left"/>
      <w:pPr>
        <w:tabs>
          <w:tab w:val="num" w:pos="864"/>
        </w:tabs>
        <w:ind w:left="864" w:hanging="432"/>
      </w:pPr>
      <w:rPr>
        <w:rFonts w:hint="default"/>
      </w:rPr>
    </w:lvl>
    <w:lvl w:ilvl="1" w:tplc="0409000F">
      <w:start w:val="1"/>
      <w:numFmt w:val="decimal"/>
      <w:lvlText w:val="%2."/>
      <w:lvlJc w:val="left"/>
      <w:pPr>
        <w:tabs>
          <w:tab w:val="num" w:pos="1296"/>
        </w:tabs>
        <w:ind w:left="1296" w:hanging="432"/>
      </w:pPr>
      <w:rPr>
        <w:rFonts w:hint="default"/>
      </w:rPr>
    </w:lvl>
    <w:lvl w:ilvl="2" w:tplc="5FB06B40">
      <w:start w:val="1"/>
      <w:numFmt w:val="lowerRoman"/>
      <w:lvlText w:val="%3."/>
      <w:lvlJc w:val="left"/>
      <w:pPr>
        <w:tabs>
          <w:tab w:val="num" w:pos="2016"/>
        </w:tabs>
        <w:ind w:left="1800" w:hanging="50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055A54"/>
    <w:multiLevelType w:val="multilevel"/>
    <w:tmpl w:val="6B38C438"/>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513BF"/>
    <w:multiLevelType w:val="hybridMultilevel"/>
    <w:tmpl w:val="04ACA6F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575A84"/>
    <w:multiLevelType w:val="multilevel"/>
    <w:tmpl w:val="8BF2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E4AEF"/>
    <w:multiLevelType w:val="hybridMultilevel"/>
    <w:tmpl w:val="1766262A"/>
    <w:lvl w:ilvl="0" w:tplc="4A2E143E">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A342458"/>
    <w:multiLevelType w:val="multilevel"/>
    <w:tmpl w:val="E1C4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F666329"/>
    <w:multiLevelType w:val="hybridMultilevel"/>
    <w:tmpl w:val="21366CB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07DD2"/>
    <w:multiLevelType w:val="multilevel"/>
    <w:tmpl w:val="57BE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91995"/>
    <w:multiLevelType w:val="hybridMultilevel"/>
    <w:tmpl w:val="6436F918"/>
    <w:lvl w:ilvl="0" w:tplc="86387A42">
      <w:start w:val="10"/>
      <w:numFmt w:val="upperLetter"/>
      <w:lvlText w:val="%1."/>
      <w:lvlJc w:val="left"/>
      <w:pPr>
        <w:tabs>
          <w:tab w:val="num" w:pos="1296"/>
        </w:tabs>
        <w:ind w:left="129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22F91"/>
    <w:multiLevelType w:val="hybridMultilevel"/>
    <w:tmpl w:val="17C8D0A2"/>
    <w:lvl w:ilvl="0" w:tplc="FB8AA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87982"/>
    <w:multiLevelType w:val="multilevel"/>
    <w:tmpl w:val="73305F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27B0611"/>
    <w:multiLevelType w:val="hybridMultilevel"/>
    <w:tmpl w:val="BF0A8EDE"/>
    <w:lvl w:ilvl="0" w:tplc="DBA859E8">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7411DC9"/>
    <w:multiLevelType w:val="multilevel"/>
    <w:tmpl w:val="D0D8A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75CED"/>
    <w:multiLevelType w:val="hybridMultilevel"/>
    <w:tmpl w:val="8402A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90402"/>
    <w:multiLevelType w:val="multilevel"/>
    <w:tmpl w:val="BE68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EA53EA"/>
    <w:multiLevelType w:val="hybridMultilevel"/>
    <w:tmpl w:val="1A4647F2"/>
    <w:lvl w:ilvl="0" w:tplc="1C4AADB0">
      <w:start w:val="1"/>
      <w:numFmt w:val="upperLetter"/>
      <w:lvlText w:val="%1."/>
      <w:lvlJc w:val="left"/>
      <w:pPr>
        <w:ind w:left="720" w:hanging="360"/>
      </w:pPr>
    </w:lvl>
    <w:lvl w:ilvl="1" w:tplc="04090019" w:tentative="1">
      <w:start w:val="1"/>
      <w:numFmt w:val="lowerLetter"/>
      <w:lvlText w:val="%2."/>
      <w:lvlJc w:val="left"/>
      <w:pPr>
        <w:ind w:left="1440" w:hanging="360"/>
      </w:pPr>
    </w:lvl>
    <w:lvl w:ilvl="2" w:tplc="1C4AADB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56F5A"/>
    <w:multiLevelType w:val="hybridMultilevel"/>
    <w:tmpl w:val="C554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3C166B74">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451EB"/>
    <w:multiLevelType w:val="hybridMultilevel"/>
    <w:tmpl w:val="E6FE2CE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41B7D"/>
    <w:multiLevelType w:val="hybridMultilevel"/>
    <w:tmpl w:val="FDFA1A4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7809B3"/>
    <w:multiLevelType w:val="hybridMultilevel"/>
    <w:tmpl w:val="A698844E"/>
    <w:lvl w:ilvl="0" w:tplc="02D8662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1C4AADB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03CFD"/>
    <w:multiLevelType w:val="hybridMultilevel"/>
    <w:tmpl w:val="E19CA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875A9"/>
    <w:multiLevelType w:val="hybridMultilevel"/>
    <w:tmpl w:val="30AA645E"/>
    <w:lvl w:ilvl="0" w:tplc="8C38D22C">
      <w:start w:val="2"/>
      <w:numFmt w:val="decimal"/>
      <w:lvlText w:val="%1."/>
      <w:lvlJc w:val="left"/>
      <w:pPr>
        <w:tabs>
          <w:tab w:val="num" w:pos="1296"/>
        </w:tabs>
        <w:ind w:left="1296" w:hanging="432"/>
      </w:pPr>
      <w:rPr>
        <w:rFonts w:hint="default"/>
      </w:rPr>
    </w:lvl>
    <w:lvl w:ilvl="1" w:tplc="63A8A41E" w:tentative="1">
      <w:start w:val="1"/>
      <w:numFmt w:val="lowerLetter"/>
      <w:lvlText w:val="%2."/>
      <w:lvlJc w:val="left"/>
      <w:pPr>
        <w:ind w:left="1440" w:hanging="360"/>
      </w:pPr>
    </w:lvl>
    <w:lvl w:ilvl="2" w:tplc="4FB4135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9093A"/>
    <w:multiLevelType w:val="hybridMultilevel"/>
    <w:tmpl w:val="4D262E24"/>
    <w:lvl w:ilvl="0" w:tplc="0409000F">
      <w:start w:val="1"/>
      <w:numFmt w:val="decimal"/>
      <w:lvlText w:val="%1."/>
      <w:lvlJc w:val="left"/>
      <w:pPr>
        <w:tabs>
          <w:tab w:val="num" w:pos="1296"/>
        </w:tabs>
        <w:ind w:left="1296" w:hanging="432"/>
      </w:pPr>
      <w:rPr>
        <w:rFonts w:hint="default"/>
      </w:rPr>
    </w:lvl>
    <w:lvl w:ilvl="1" w:tplc="04090019">
      <w:start w:val="6"/>
      <w:numFmt w:val="decimal"/>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571EA3"/>
    <w:multiLevelType w:val="multilevel"/>
    <w:tmpl w:val="FF46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3586190">
    <w:abstractNumId w:val="25"/>
  </w:num>
  <w:num w:numId="2" w16cid:durableId="1381055807">
    <w:abstractNumId w:val="15"/>
  </w:num>
  <w:num w:numId="3" w16cid:durableId="1516533378">
    <w:abstractNumId w:val="22"/>
  </w:num>
  <w:num w:numId="4" w16cid:durableId="934479606">
    <w:abstractNumId w:val="20"/>
  </w:num>
  <w:num w:numId="5" w16cid:durableId="2146967302">
    <w:abstractNumId w:val="30"/>
  </w:num>
  <w:num w:numId="6" w16cid:durableId="945120502">
    <w:abstractNumId w:val="28"/>
  </w:num>
  <w:num w:numId="7" w16cid:durableId="1998222633">
    <w:abstractNumId w:val="0"/>
  </w:num>
  <w:num w:numId="8" w16cid:durableId="684401979">
    <w:abstractNumId w:val="12"/>
  </w:num>
  <w:num w:numId="9" w16cid:durableId="1878736383">
    <w:abstractNumId w:val="16"/>
  </w:num>
  <w:num w:numId="10" w16cid:durableId="1526476013">
    <w:abstractNumId w:val="4"/>
  </w:num>
  <w:num w:numId="11" w16cid:durableId="2002200759">
    <w:abstractNumId w:val="19"/>
  </w:num>
  <w:num w:numId="12" w16cid:durableId="1708532122">
    <w:abstractNumId w:val="5"/>
  </w:num>
  <w:num w:numId="13" w16cid:durableId="1169563711">
    <w:abstractNumId w:val="3"/>
  </w:num>
  <w:num w:numId="14" w16cid:durableId="922840784">
    <w:abstractNumId w:val="10"/>
  </w:num>
  <w:num w:numId="15" w16cid:durableId="859969155">
    <w:abstractNumId w:val="29"/>
  </w:num>
  <w:num w:numId="16" w16cid:durableId="616328646">
    <w:abstractNumId w:val="9"/>
  </w:num>
  <w:num w:numId="17" w16cid:durableId="2014916487">
    <w:abstractNumId w:val="31"/>
  </w:num>
  <w:num w:numId="18" w16cid:durableId="1488663526">
    <w:abstractNumId w:val="21"/>
  </w:num>
  <w:num w:numId="19" w16cid:durableId="531185345">
    <w:abstractNumId w:val="7"/>
  </w:num>
  <w:num w:numId="20" w16cid:durableId="3630354">
    <w:abstractNumId w:val="26"/>
  </w:num>
  <w:num w:numId="21" w16cid:durableId="2020043141">
    <w:abstractNumId w:val="18"/>
  </w:num>
  <w:num w:numId="22" w16cid:durableId="217713137">
    <w:abstractNumId w:val="1"/>
  </w:num>
  <w:num w:numId="23" w16cid:durableId="883370042">
    <w:abstractNumId w:val="6"/>
  </w:num>
  <w:num w:numId="24" w16cid:durableId="1944528528">
    <w:abstractNumId w:val="32"/>
  </w:num>
  <w:num w:numId="25" w16cid:durableId="1236740396">
    <w:abstractNumId w:val="14"/>
  </w:num>
  <w:num w:numId="26" w16cid:durableId="567765220">
    <w:abstractNumId w:val="13"/>
  </w:num>
  <w:num w:numId="27" w16cid:durableId="1682390259">
    <w:abstractNumId w:val="17"/>
  </w:num>
  <w:num w:numId="28" w16cid:durableId="450906089">
    <w:abstractNumId w:val="33"/>
  </w:num>
  <w:num w:numId="29" w16cid:durableId="600837861">
    <w:abstractNumId w:val="2"/>
  </w:num>
  <w:num w:numId="30" w16cid:durableId="194541703">
    <w:abstractNumId w:val="11"/>
  </w:num>
  <w:num w:numId="31" w16cid:durableId="1069620347">
    <w:abstractNumId w:val="8"/>
  </w:num>
  <w:num w:numId="32" w16cid:durableId="1493568802">
    <w:abstractNumId w:val="24"/>
  </w:num>
  <w:num w:numId="33" w16cid:durableId="1627269678">
    <w:abstractNumId w:val="23"/>
  </w:num>
  <w:num w:numId="34" w16cid:durableId="1533304924">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AA"/>
    <w:rsid w:val="00160F42"/>
    <w:rsid w:val="00233F68"/>
    <w:rsid w:val="0026715E"/>
    <w:rsid w:val="003076A3"/>
    <w:rsid w:val="00471A72"/>
    <w:rsid w:val="004A15BD"/>
    <w:rsid w:val="004F4116"/>
    <w:rsid w:val="00507189"/>
    <w:rsid w:val="00585E9B"/>
    <w:rsid w:val="005931EB"/>
    <w:rsid w:val="005A673F"/>
    <w:rsid w:val="00644755"/>
    <w:rsid w:val="006A2CD9"/>
    <w:rsid w:val="006B0D7D"/>
    <w:rsid w:val="007F4106"/>
    <w:rsid w:val="00851ED0"/>
    <w:rsid w:val="00876E5D"/>
    <w:rsid w:val="008D37AF"/>
    <w:rsid w:val="009020AA"/>
    <w:rsid w:val="009843B3"/>
    <w:rsid w:val="00A72F57"/>
    <w:rsid w:val="00A80EA4"/>
    <w:rsid w:val="00AB5E1B"/>
    <w:rsid w:val="00B27CC7"/>
    <w:rsid w:val="00BE658D"/>
    <w:rsid w:val="00CC0CE4"/>
    <w:rsid w:val="00D8731F"/>
    <w:rsid w:val="00D91F21"/>
    <w:rsid w:val="00E64A29"/>
    <w:rsid w:val="00EF78A7"/>
    <w:rsid w:val="00F5306F"/>
    <w:rsid w:val="00F90674"/>
    <w:rsid w:val="00FD7445"/>
    <w:rsid w:val="1994E316"/>
    <w:rsid w:val="2024800A"/>
    <w:rsid w:val="45F76DDE"/>
    <w:rsid w:val="4F99747E"/>
    <w:rsid w:val="54D1CC5F"/>
    <w:rsid w:val="5D876F4E"/>
    <w:rsid w:val="66A4246F"/>
    <w:rsid w:val="74016701"/>
    <w:rsid w:val="7C4B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83E7"/>
  <w15:chartTrackingRefBased/>
  <w15:docId w15:val="{593F2F70-1F7C-4415-98E1-FE27E4E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20AA"/>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9020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A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20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20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20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20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20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20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20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20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20AA"/>
    <w:rPr>
      <w:rFonts w:eastAsiaTheme="majorEastAsia" w:cstheme="majorBidi"/>
      <w:color w:val="272727" w:themeColor="text1" w:themeTint="D8"/>
    </w:rPr>
  </w:style>
  <w:style w:type="paragraph" w:styleId="Title">
    <w:name w:val="Title"/>
    <w:basedOn w:val="Normal"/>
    <w:next w:val="Normal"/>
    <w:link w:val="TitleChar"/>
    <w:uiPriority w:val="10"/>
    <w:qFormat/>
    <w:rsid w:val="009020A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20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20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2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AA"/>
    <w:pPr>
      <w:spacing w:before="160"/>
      <w:jc w:val="center"/>
    </w:pPr>
    <w:rPr>
      <w:i/>
      <w:iCs/>
      <w:color w:val="404040" w:themeColor="text1" w:themeTint="BF"/>
    </w:rPr>
  </w:style>
  <w:style w:type="character" w:styleId="QuoteChar" w:customStyle="1">
    <w:name w:val="Quote Char"/>
    <w:basedOn w:val="DefaultParagraphFont"/>
    <w:link w:val="Quote"/>
    <w:uiPriority w:val="29"/>
    <w:rsid w:val="009020AA"/>
    <w:rPr>
      <w:i/>
      <w:iCs/>
      <w:color w:val="404040" w:themeColor="text1" w:themeTint="BF"/>
    </w:rPr>
  </w:style>
  <w:style w:type="paragraph" w:styleId="ListParagraph">
    <w:name w:val="List Paragraph"/>
    <w:basedOn w:val="Normal"/>
    <w:uiPriority w:val="34"/>
    <w:qFormat/>
    <w:rsid w:val="009020AA"/>
    <w:pPr>
      <w:ind w:left="720"/>
      <w:contextualSpacing/>
    </w:pPr>
  </w:style>
  <w:style w:type="character" w:styleId="IntenseEmphasis">
    <w:name w:val="Intense Emphasis"/>
    <w:basedOn w:val="DefaultParagraphFont"/>
    <w:uiPriority w:val="21"/>
    <w:qFormat/>
    <w:rsid w:val="009020AA"/>
    <w:rPr>
      <w:i/>
      <w:iCs/>
      <w:color w:val="0F4761" w:themeColor="accent1" w:themeShade="BF"/>
    </w:rPr>
  </w:style>
  <w:style w:type="paragraph" w:styleId="IntenseQuote">
    <w:name w:val="Intense Quote"/>
    <w:basedOn w:val="Normal"/>
    <w:next w:val="Normal"/>
    <w:link w:val="IntenseQuoteChar"/>
    <w:uiPriority w:val="30"/>
    <w:qFormat/>
    <w:rsid w:val="009020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20AA"/>
    <w:rPr>
      <w:i/>
      <w:iCs/>
      <w:color w:val="0F4761" w:themeColor="accent1" w:themeShade="BF"/>
    </w:rPr>
  </w:style>
  <w:style w:type="character" w:styleId="IntenseReference">
    <w:name w:val="Intense Reference"/>
    <w:basedOn w:val="DefaultParagraphFont"/>
    <w:uiPriority w:val="32"/>
    <w:qFormat/>
    <w:rsid w:val="009020AA"/>
    <w:rPr>
      <w:b/>
      <w:bCs/>
      <w:smallCaps/>
      <w:color w:val="0F4761" w:themeColor="accent1" w:themeShade="BF"/>
      <w:spacing w:val="5"/>
    </w:rPr>
  </w:style>
  <w:style w:type="paragraph" w:styleId="BodyText">
    <w:name w:val="Body Text"/>
    <w:basedOn w:val="Normal"/>
    <w:link w:val="BodyTextChar"/>
    <w:uiPriority w:val="99"/>
    <w:unhideWhenUsed/>
    <w:rsid w:val="009020AA"/>
    <w:pPr>
      <w:spacing w:after="120"/>
    </w:pPr>
  </w:style>
  <w:style w:type="character" w:styleId="BodyTextChar" w:customStyle="1">
    <w:name w:val="Body Text Char"/>
    <w:basedOn w:val="DefaultParagraphFont"/>
    <w:link w:val="BodyText"/>
    <w:uiPriority w:val="99"/>
    <w:rsid w:val="009020AA"/>
    <w:rPr>
      <w:rFonts w:ascii="CG Times" w:hAnsi="CG Times" w:eastAsia="Times New Roman" w:cs="Times New Roman"/>
      <w:snapToGrid w:val="0"/>
      <w:kern w:val="0"/>
      <w:sz w:val="24"/>
      <w:szCs w:val="20"/>
    </w:rPr>
  </w:style>
  <w:style w:type="paragraph" w:styleId="Default" w:customStyle="1">
    <w:name w:val="Default"/>
    <w:rsid w:val="00851ED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851ED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1" w:customStyle="1">
    <w:name w:val="l1"/>
    <w:rsid w:val="007F4106"/>
    <w:pPr>
      <w:widowControl w:val="0"/>
      <w:tabs>
        <w:tab w:val="left" w:pos="1440"/>
      </w:tabs>
      <w:autoSpaceDE w:val="0"/>
      <w:autoSpaceDN w:val="0"/>
      <w:adjustRightInd w:val="0"/>
      <w:spacing w:before="144" w:after="0" w:line="240" w:lineRule="auto"/>
      <w:ind w:left="1440" w:hanging="720"/>
      <w:jc w:val="both"/>
    </w:pPr>
    <w:rPr>
      <w:rFonts w:ascii="Arial" w:hAnsi="Arial" w:eastAsia="Times New Roman" w:cs="Arial"/>
      <w:kern w:val="0"/>
      <w:sz w:val="24"/>
      <w:szCs w:val="24"/>
      <w14:ligatures w14:val="none"/>
    </w:rPr>
  </w:style>
  <w:style w:type="paragraph" w:styleId="l2" w:customStyle="1">
    <w:name w:val="l2"/>
    <w:rsid w:val="007F4106"/>
    <w:pPr>
      <w:widowControl w:val="0"/>
      <w:tabs>
        <w:tab w:val="left" w:pos="2160"/>
      </w:tabs>
      <w:autoSpaceDE w:val="0"/>
      <w:autoSpaceDN w:val="0"/>
      <w:adjustRightInd w:val="0"/>
      <w:spacing w:before="144" w:after="0" w:line="240" w:lineRule="auto"/>
      <w:ind w:left="2160" w:hanging="720"/>
      <w:jc w:val="both"/>
    </w:pPr>
    <w:rPr>
      <w:rFonts w:ascii="Arial" w:hAnsi="Arial" w:eastAsia="Times New Roman" w:cs="Arial"/>
      <w:kern w:val="0"/>
      <w:sz w:val="24"/>
      <w:szCs w:val="24"/>
      <w14:ligatures w14:val="none"/>
    </w:rPr>
  </w:style>
  <w:style w:type="paragraph" w:styleId="NormalWeb">
    <w:name w:val="Normal (Web)"/>
    <w:basedOn w:val="Normal"/>
    <w:uiPriority w:val="99"/>
    <w:semiHidden/>
    <w:unhideWhenUsed/>
    <w:rsid w:val="00E64A29"/>
    <w:pPr>
      <w:widowControl/>
      <w:spacing w:before="100" w:beforeAutospacing="1" w:after="100" w:afterAutospacing="1"/>
    </w:pPr>
    <w:rPr>
      <w:rFonts w:ascii="Times New Roman" w:hAnsi="Times New Roman"/>
      <w:snapToGrid/>
      <w:szCs w:val="24"/>
      <w14:ligatures w14:val="none"/>
    </w:rPr>
  </w:style>
  <w:style w:type="character" w:styleId="Strong">
    <w:name w:val="Strong"/>
    <w:basedOn w:val="DefaultParagraphFont"/>
    <w:uiPriority w:val="22"/>
    <w:qFormat/>
    <w:rsid w:val="00E64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937852">
      <w:bodyDiv w:val="1"/>
      <w:marLeft w:val="0"/>
      <w:marRight w:val="0"/>
      <w:marTop w:val="0"/>
      <w:marBottom w:val="0"/>
      <w:divBdr>
        <w:top w:val="none" w:sz="0" w:space="0" w:color="auto"/>
        <w:left w:val="none" w:sz="0" w:space="0" w:color="auto"/>
        <w:bottom w:val="none" w:sz="0" w:space="0" w:color="auto"/>
        <w:right w:val="none" w:sz="0" w:space="0" w:color="auto"/>
      </w:divBdr>
    </w:div>
    <w:div w:id="1942687157">
      <w:bodyDiv w:val="1"/>
      <w:marLeft w:val="0"/>
      <w:marRight w:val="0"/>
      <w:marTop w:val="0"/>
      <w:marBottom w:val="0"/>
      <w:divBdr>
        <w:top w:val="none" w:sz="0" w:space="0" w:color="auto"/>
        <w:left w:val="none" w:sz="0" w:space="0" w:color="auto"/>
        <w:bottom w:val="none" w:sz="0" w:space="0" w:color="auto"/>
        <w:right w:val="none" w:sz="0" w:space="0" w:color="auto"/>
      </w:divBdr>
    </w:div>
    <w:div w:id="20819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66002ea0a0194a24" /><Relationship Type="http://schemas.microsoft.com/office/2011/relationships/commentsExtended" Target="commentsExtended.xml" Id="R7987aba70d8141f9" /><Relationship Type="http://schemas.microsoft.com/office/2016/09/relationships/commentsIds" Target="commentsIds.xml" Id="Rabb07b0fe83445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A0BB3-6AD0-4FCD-BD2B-937F14BA3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AF41D-E7A7-459A-A00D-E78F55644D9F}">
  <ds:schemaRefs>
    <ds:schemaRef ds:uri="http://schemas.microsoft.com/sharepoint/v3/contenttype/forms"/>
  </ds:schemaRefs>
</ds:datastoreItem>
</file>

<file path=customXml/itemProps3.xml><?xml version="1.0" encoding="utf-8"?>
<ds:datastoreItem xmlns:ds="http://schemas.openxmlformats.org/officeDocument/2006/customXml" ds:itemID="{146C4D86-E9CC-4E53-9F08-CC4FD997A9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19</cp:revision>
  <dcterms:created xsi:type="dcterms:W3CDTF">2025-04-06T19:58:00Z</dcterms:created>
  <dcterms:modified xsi:type="dcterms:W3CDTF">2025-07-06T22:16:22Z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2025-04-14T02:40:24Z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8a667ec7-d012-4689-a067-d8e85b2f24b8</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