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53E0" w:rsidR="00613156" w:rsidP="524AB998" w:rsidRDefault="00613156" w14:paraId="3DFAF3B8" w14:textId="0CDC52FB">
      <w:pPr>
        <w:widowControl w:val="1"/>
        <w:shd w:val="clear" w:color="auto" w:fill="FFFFFF" w:themeFill="background1"/>
        <w:spacing w:line="264" w:lineRule="auto"/>
        <w:jc w:val="center"/>
        <w:rPr>
          <w:rFonts w:ascii="Calibri" w:hAnsi="Calibri" w:eastAsia="Yu Gothic Light" w:cs="Calibri"/>
          <w:b w:val="1"/>
          <w:bCs w:val="1"/>
          <w:snapToGrid/>
          <w:color w:val="auto" w:themeColor="text1"/>
          <w14:ligatures w14:val="none"/>
        </w:rPr>
      </w:pPr>
      <w:r w:rsidRPr="524AB998" w:rsidR="00613156">
        <w:rPr>
          <w:rFonts w:ascii="Calibri" w:hAnsi="Calibri" w:eastAsia="Yu Gothic Light" w:cs="Calibri"/>
          <w:b w:val="1"/>
          <w:bCs w:val="1"/>
          <w:snapToGrid/>
          <w:color w:val="auto" w:themeColor="text1"/>
          <w14:ligatures w14:val="none"/>
        </w:rPr>
        <w:t>SECTION: LEAVES</w:t>
      </w:r>
    </w:p>
    <w:p w:rsidRPr="009E53E0" w:rsidR="00613156" w:rsidP="524AB998" w:rsidRDefault="00613156" w14:paraId="5F64B840" w14:textId="77777777">
      <w:pPr>
        <w:widowControl w:val="1"/>
        <w:shd w:val="clear" w:color="auto" w:fill="FFFFFF" w:themeFill="background1"/>
        <w:spacing w:line="264" w:lineRule="auto"/>
        <w:jc w:val="center"/>
        <w:rPr>
          <w:rFonts w:ascii="Calibri" w:hAnsi="Calibri" w:eastAsia="Yu Gothic Light" w:cs="Calibri"/>
          <w:b w:val="1"/>
          <w:bCs w:val="1"/>
          <w:snapToGrid/>
          <w:color w:val="auto" w:themeColor="text1"/>
          <w14:ligatures w14:val="none"/>
        </w:rPr>
      </w:pPr>
    </w:p>
    <w:p w:rsidRPr="009E53E0" w:rsidR="00613156" w:rsidP="524AB998" w:rsidRDefault="00613156" w14:paraId="35FD6A5C" w14:textId="23EE5728">
      <w:pPr>
        <w:widowControl w:val="1"/>
        <w:shd w:val="clear" w:color="auto" w:fill="FFFFFF" w:themeFill="background1"/>
        <w:tabs>
          <w:tab w:val="left" w:pos="5040"/>
        </w:tabs>
        <w:spacing w:line="264" w:lineRule="auto"/>
        <w:rPr>
          <w:rFonts w:ascii="Calibri" w:hAnsi="Calibri" w:eastAsia="Yu Gothic Light" w:cs="Calibri"/>
          <w:snapToGrid/>
          <w:color w:val="auto" w:themeColor="text1"/>
          <w14:ligatures w14:val="none"/>
        </w:rPr>
      </w:pPr>
      <w:r w:rsidRPr="524AB998" w:rsidR="00613156">
        <w:rPr>
          <w:rFonts w:ascii="Calibri" w:hAnsi="Calibri" w:eastAsia="Yu Gothic Light" w:cs="Calibri"/>
          <w:b w:val="1"/>
          <w:bCs w:val="1"/>
          <w:snapToGrid/>
          <w:color w:val="auto" w:themeColor="text1"/>
          <w14:ligatures w14:val="none"/>
        </w:rPr>
        <w:t xml:space="preserve">POLICY: </w:t>
      </w:r>
      <w:r w:rsidRPr="524AB998" w:rsidR="00613156">
        <w:rPr>
          <w:rFonts w:ascii="Calibri" w:hAnsi="Calibri" w:eastAsia="Yu Gothic Light" w:cs="Calibri"/>
          <w:snapToGrid/>
          <w:color w:val="auto" w:themeColor="text1"/>
          <w14:ligatures w14:val="none"/>
        </w:rPr>
        <w:t xml:space="preserve">Family and Medical </w:t>
      </w:r>
      <w:r w:rsidRPr="524AB998" w:rsidR="00613156">
        <w:rPr>
          <w:rFonts w:ascii="Calibri" w:hAnsi="Calibri" w:eastAsia="Yu Gothic Light" w:cs="Calibri"/>
          <w:snapToGrid/>
          <w:color w:val="auto" w:themeColor="text1"/>
          <w14:ligatures w14:val="none"/>
        </w:rPr>
        <w:t>Leave</w:t>
      </w:r>
      <w:r w:rsidRPr="009E53E0" w:rsidR="00F3392D">
        <w:rPr>
          <w:rFonts w:ascii="Calibri" w:hAnsi="Calibri" w:eastAsia="Yu Gothic Light" w:cs="Calibri"/>
          <w:snapToGrid/>
          <w:color w:val="000000" w:themeColor="text1"/>
          <w:szCs w:val="24"/>
          <w14:ligatures w14:val="none"/>
        </w:rPr>
        <w:tab/>
      </w:r>
      <w:r w:rsidRPr="524AB998" w:rsidR="00613156">
        <w:rPr>
          <w:rFonts w:ascii="Calibri" w:hAnsi="Calibri" w:eastAsia="Yu Gothic Light" w:cs="Calibri"/>
          <w:b w:val="1"/>
          <w:bCs w:val="1"/>
          <w:snapToGrid/>
          <w:color w:val="auto" w:themeColor="text1"/>
          <w14:ligatures w14:val="none"/>
        </w:rPr>
        <w:t xml:space="preserve">EFFECTIVE</w:t>
      </w:r>
      <w:r w:rsidRPr="524AB998" w:rsidR="00613156">
        <w:rPr>
          <w:rFonts w:ascii="Calibri" w:hAnsi="Calibri" w:eastAsia="Yu Gothic Light" w:cs="Calibri"/>
          <w:b w:val="1"/>
          <w:bCs w:val="1"/>
          <w:snapToGrid/>
          <w:color w:val="auto" w:themeColor="text1"/>
          <w14:ligatures w14:val="none"/>
        </w:rPr>
        <w:t xml:space="preserve"> DATE: </w:t>
      </w:r>
      <w:r w:rsidRPr="524AB998" w:rsidR="00F3392D">
        <w:rPr>
          <w:rFonts w:ascii="Calibri" w:hAnsi="Calibri" w:eastAsia="Yu Gothic Light" w:cs="Calibri"/>
          <w:snapToGrid/>
          <w:color w:val="auto" w:themeColor="text1"/>
          <w14:ligatures w14:val="none"/>
        </w:rPr>
        <w:t xml:space="preserve">insert </w:t>
      </w:r>
      <w:r w:rsidRPr="524AB998" w:rsidR="00613156">
        <w:rPr>
          <w:rFonts w:ascii="Calibri" w:hAnsi="Calibri" w:eastAsia="Yu Gothic Light" w:cs="Calibri"/>
          <w:snapToGrid/>
          <w:color w:val="auto" w:themeColor="text1"/>
          <w14:ligatures w14:val="none"/>
        </w:rPr>
        <w:t>date adopted</w:t>
      </w:r>
    </w:p>
    <w:p w:rsidRPr="009E53E0" w:rsidR="007F0690" w:rsidP="524AB998" w:rsidRDefault="007F0690" w14:paraId="5DE39E84" w14:textId="77777777">
      <w:pPr>
        <w:tabs>
          <w:tab w:val="left" w:pos="1440"/>
        </w:tabs>
        <w:spacing w:line="264" w:lineRule="auto"/>
        <w:rPr>
          <w:rFonts w:ascii="Calibri" w:hAnsi="Calibri" w:cs="Calibri"/>
          <w:color w:val="auto" w:themeColor="text1"/>
        </w:rPr>
      </w:pPr>
    </w:p>
    <w:p w:rsidRPr="009E53E0" w:rsidR="00A0427C" w:rsidP="524AB998" w:rsidRDefault="00A0427C" w14:paraId="65289A2F" w14:textId="77777777">
      <w:pPr>
        <w:tabs>
          <w:tab w:val="left" w:pos="1440"/>
        </w:tabs>
        <w:spacing w:line="264" w:lineRule="auto"/>
        <w:rPr>
          <w:rFonts w:ascii="Calibri" w:hAnsi="Calibri" w:cs="Calibri"/>
          <w:color w:val="auto" w:themeColor="text1"/>
        </w:rPr>
      </w:pPr>
    </w:p>
    <w:p w:rsidRPr="009E53E0" w:rsidR="007F0690" w:rsidP="524AB998" w:rsidRDefault="00613156" w14:paraId="2BC70FC2" w14:textId="08694EFA">
      <w:pPr>
        <w:spacing w:line="264" w:lineRule="auto"/>
        <w:rPr>
          <w:rFonts w:ascii="Calibri" w:hAnsi="Calibri" w:cs="Calibri"/>
          <w:b w:val="1"/>
          <w:bCs w:val="1"/>
          <w:color w:val="auto" w:themeColor="text1"/>
        </w:rPr>
      </w:pPr>
      <w:r w:rsidRPr="524AB998" w:rsidR="00613156">
        <w:rPr>
          <w:rFonts w:ascii="Calibri" w:hAnsi="Calibri" w:cs="Calibri"/>
          <w:b w:val="1"/>
          <w:bCs w:val="1"/>
          <w:color w:val="auto"/>
        </w:rPr>
        <w:t>STATEMENT OF PURPOSE:</w:t>
      </w:r>
    </w:p>
    <w:p w:rsidRPr="009E53E0" w:rsidR="00B7239D" w:rsidP="524AB998" w:rsidRDefault="00B7239D" w14:paraId="4A1B06FF" w14:textId="77777777">
      <w:pPr>
        <w:spacing w:line="264" w:lineRule="auto"/>
        <w:rPr>
          <w:rFonts w:ascii="Calibri" w:hAnsi="Calibri" w:cs="Calibri"/>
          <w:b w:val="1"/>
          <w:bCs w:val="1"/>
          <w:color w:val="auto" w:themeColor="text1"/>
        </w:rPr>
      </w:pPr>
    </w:p>
    <w:p w:rsidRPr="009E53E0" w:rsidR="007F0690" w:rsidP="524AB998" w:rsidRDefault="007F0690" w14:paraId="0EB460D1" w14:textId="77777777">
      <w:pPr>
        <w:widowControl w:val="1"/>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This section outlines the criteria for compliance with the Family and Medical Leave Act (FMLA) and provides guidelines for eligible employees to take family and medical leave under specific conditions.</w:t>
      </w:r>
    </w:p>
    <w:p w:rsidRPr="009E53E0" w:rsidR="00B7239D" w:rsidP="524AB998" w:rsidRDefault="00B7239D" w14:paraId="02A168FF" w14:textId="77777777">
      <w:pPr>
        <w:spacing w:line="264" w:lineRule="auto"/>
        <w:rPr>
          <w:rFonts w:ascii="Calibri" w:hAnsi="Calibri" w:cs="Calibri"/>
          <w:b w:val="1"/>
          <w:bCs w:val="1"/>
          <w:color w:val="auto" w:themeColor="text1"/>
        </w:rPr>
      </w:pPr>
    </w:p>
    <w:p w:rsidRPr="009E53E0" w:rsidR="007F0690" w:rsidP="524AB998" w:rsidRDefault="00613156" w14:paraId="27E3A43D" w14:textId="691C6D7E">
      <w:pPr>
        <w:spacing w:line="264" w:lineRule="auto"/>
        <w:rPr>
          <w:rFonts w:ascii="Calibri" w:hAnsi="Calibri" w:cs="Calibri"/>
          <w:b w:val="1"/>
          <w:bCs w:val="1"/>
          <w:color w:val="auto" w:themeColor="text1"/>
        </w:rPr>
      </w:pPr>
      <w:r w:rsidRPr="524AB998" w:rsidR="00613156">
        <w:rPr>
          <w:rFonts w:ascii="Calibri" w:hAnsi="Calibri" w:cs="Calibri"/>
          <w:b w:val="1"/>
          <w:bCs w:val="1"/>
          <w:color w:val="auto"/>
        </w:rPr>
        <w:t>DEFINITIONS:</w:t>
      </w:r>
    </w:p>
    <w:p w:rsidRPr="009E53E0" w:rsidR="00B7239D" w:rsidP="524AB998" w:rsidRDefault="00B7239D" w14:paraId="2A5CEA23" w14:textId="77777777">
      <w:pPr>
        <w:spacing w:line="264" w:lineRule="auto"/>
        <w:rPr>
          <w:rFonts w:ascii="Calibri" w:hAnsi="Calibri" w:cs="Calibri"/>
          <w:b w:val="1"/>
          <w:bCs w:val="1"/>
          <w:color w:val="auto" w:themeColor="text1"/>
        </w:rPr>
      </w:pPr>
    </w:p>
    <w:p w:rsidRPr="009E53E0" w:rsidR="007F0690" w:rsidP="524AB998" w:rsidRDefault="007F0690" w14:paraId="5D9A45BF" w14:textId="77777777">
      <w:pPr>
        <w:pStyle w:val="ListParagraph"/>
        <w:widowControl w:val="1"/>
        <w:numPr>
          <w:ilvl w:val="0"/>
          <w:numId w:val="8"/>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Family and Medical Leave Act (FMLA): A federal law that allows eligible employees to take unpaid, job-protected leave for specified family and medical reasons.</w:t>
      </w:r>
    </w:p>
    <w:p w:rsidRPr="009E53E0" w:rsidR="00151D68" w:rsidP="524AB998" w:rsidRDefault="00151D68" w14:paraId="68257A7A" w14:textId="77777777">
      <w:pPr>
        <w:pStyle w:val="ListParagraph"/>
        <w:widowControl w:val="1"/>
        <w:spacing w:line="264" w:lineRule="auto"/>
        <w:rPr>
          <w:rFonts w:ascii="Calibri" w:hAnsi="Calibri" w:cs="Calibri"/>
          <w:snapToGrid/>
          <w:color w:val="auto" w:themeColor="text1"/>
          <w14:ligatures w14:val="none"/>
        </w:rPr>
      </w:pPr>
    </w:p>
    <w:p w:rsidRPr="009E53E0" w:rsidR="007F0690" w:rsidP="524AB998" w:rsidRDefault="007F0690" w14:paraId="6AC2AE24" w14:textId="77F06D33">
      <w:pPr>
        <w:pStyle w:val="ListParagraph"/>
        <w:widowControl w:val="1"/>
        <w:numPr>
          <w:ilvl w:val="0"/>
          <w:numId w:val="8"/>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Eligible Employee: An employee who has worked for the City for at least 12 months and has at least </w:t>
      </w:r>
      <w:r w:rsidRPr="524AB998" w:rsidR="007F0690">
        <w:rPr>
          <w:rFonts w:ascii="Calibri" w:hAnsi="Calibri" w:cs="Calibri"/>
          <w:snapToGrid/>
          <w:color w:val="auto" w:themeColor="text1"/>
          <w14:ligatures w14:val="none"/>
        </w:rPr>
        <w:t>1,250 hours</w:t>
      </w:r>
      <w:r w:rsidRPr="524AB998" w:rsidR="007F0690">
        <w:rPr>
          <w:rFonts w:ascii="Calibri" w:hAnsi="Calibri" w:cs="Calibri"/>
          <w:snapToGrid/>
          <w:color w:val="auto" w:themeColor="text1"/>
          <w14:ligatures w14:val="none"/>
        </w:rPr>
        <w:t xml:space="preserve"> of service in the past 12 months.</w:t>
      </w:r>
    </w:p>
    <w:p w:rsidRPr="009E53E0" w:rsidR="00151D68" w:rsidP="524AB998" w:rsidRDefault="00151D68" w14:paraId="10175F14" w14:textId="77777777">
      <w:pPr>
        <w:widowControl w:val="1"/>
        <w:spacing w:line="264" w:lineRule="auto"/>
        <w:rPr>
          <w:rFonts w:ascii="Calibri" w:hAnsi="Calibri" w:cs="Calibri"/>
          <w:snapToGrid/>
          <w:color w:val="auto" w:themeColor="text1"/>
          <w14:ligatures w14:val="none"/>
        </w:rPr>
      </w:pPr>
    </w:p>
    <w:p w:rsidRPr="009E53E0" w:rsidR="007F0690" w:rsidP="524AB998" w:rsidRDefault="007F0690" w14:paraId="5C653EB5" w14:textId="77777777">
      <w:pPr>
        <w:pStyle w:val="ListParagraph"/>
        <w:widowControl w:val="1"/>
        <w:numPr>
          <w:ilvl w:val="0"/>
          <w:numId w:val="8"/>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Serious Health Condition: An illness, injury, impairment, or physical or mental condition that involves inpatient care or continuing treatment by a health care provider.</w:t>
      </w:r>
    </w:p>
    <w:p w:rsidRPr="009E53E0" w:rsidR="00151D68" w:rsidP="524AB998" w:rsidRDefault="00151D68" w14:paraId="2EA7C7B5" w14:textId="77777777">
      <w:pPr>
        <w:widowControl w:val="1"/>
        <w:spacing w:line="264" w:lineRule="auto"/>
        <w:rPr>
          <w:rFonts w:ascii="Calibri" w:hAnsi="Calibri" w:cs="Calibri"/>
          <w:snapToGrid/>
          <w:color w:val="auto" w:themeColor="text1"/>
          <w14:ligatures w14:val="none"/>
        </w:rPr>
      </w:pPr>
    </w:p>
    <w:p w:rsidRPr="009E53E0" w:rsidR="007F0690" w:rsidP="524AB998" w:rsidRDefault="007F0690" w14:paraId="63208A34" w14:textId="08CA8537">
      <w:pPr>
        <w:pStyle w:val="ListParagraph"/>
        <w:widowControl w:val="1"/>
        <w:numPr>
          <w:ilvl w:val="0"/>
          <w:numId w:val="8"/>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Qualifying Exigency: A condition related to the active duty or impending call to active duty of a spouse, child, or parent in the military.</w:t>
      </w:r>
    </w:p>
    <w:p w:rsidR="524AB998" w:rsidP="524AB998" w:rsidRDefault="524AB998" w14:paraId="0691D0C2" w14:textId="4F0AAA8D">
      <w:pPr>
        <w:pStyle w:val="ListParagraph"/>
        <w:widowControl w:val="1"/>
        <w:spacing w:line="264" w:lineRule="auto"/>
        <w:ind w:left="720"/>
        <w:rPr>
          <w:rFonts w:ascii="Calibri" w:hAnsi="Calibri" w:cs="Calibri"/>
          <w:color w:val="auto"/>
        </w:rPr>
      </w:pPr>
    </w:p>
    <w:p w:rsidR="1F3FBDBC" w:rsidP="524AB998" w:rsidRDefault="1F3FBDBC" w14:paraId="0A739F9C" w14:textId="55D030CE">
      <w:pPr>
        <w:pStyle w:val="ListParagraph"/>
        <w:widowControl w:val="1"/>
        <w:numPr>
          <w:ilvl w:val="0"/>
          <w:numId w:val="8"/>
        </w:numPr>
        <w:spacing w:line="264" w:lineRule="auto"/>
        <w:rPr>
          <w:rFonts w:ascii="Calibri" w:hAnsi="Calibri" w:eastAsia="Calibri" w:cs="Calibri"/>
          <w:noProof w:val="0"/>
          <w:color w:val="auto" w:themeColor="text1" w:themeTint="FF" w:themeShade="FF"/>
          <w:sz w:val="24"/>
          <w:szCs w:val="24"/>
          <w:lang w:val="en-US"/>
        </w:rPr>
      </w:pPr>
      <w:r w:rsidRPr="524AB998" w:rsidR="1F3FBDBC">
        <w:rPr>
          <w:rFonts w:ascii="Calibri" w:hAnsi="Calibri" w:eastAsia="Calibri" w:cs="Calibri"/>
          <w:color w:val="auto"/>
          <w:sz w:val="24"/>
          <w:szCs w:val="24"/>
        </w:rPr>
        <w:t xml:space="preserve">Parent: </w:t>
      </w:r>
      <w:r w:rsidRPr="524AB998" w:rsidR="58D0A334">
        <w:rPr>
          <w:rFonts w:ascii="Calibri" w:hAnsi="Calibri" w:eastAsia="Calibri" w:cs="Calibri"/>
          <w:b w:val="0"/>
          <w:bCs w:val="0"/>
          <w:i w:val="0"/>
          <w:iCs w:val="0"/>
          <w:caps w:val="0"/>
          <w:smallCaps w:val="0"/>
          <w:noProof w:val="0"/>
          <w:color w:val="auto"/>
          <w:sz w:val="24"/>
          <w:szCs w:val="24"/>
          <w:lang w:val="en-US"/>
        </w:rPr>
        <w:t xml:space="preserve">This includes biological, adoptive, foster, and </w:t>
      </w:r>
      <w:r w:rsidRPr="524AB998" w:rsidR="58D0A334">
        <w:rPr>
          <w:rFonts w:ascii="Calibri" w:hAnsi="Calibri" w:eastAsia="Calibri" w:cs="Calibri"/>
          <w:b w:val="0"/>
          <w:bCs w:val="0"/>
          <w:i w:val="0"/>
          <w:iCs w:val="0"/>
          <w:caps w:val="0"/>
          <w:smallCaps w:val="0"/>
          <w:noProof w:val="0"/>
          <w:color w:val="auto"/>
          <w:sz w:val="24"/>
          <w:szCs w:val="24"/>
          <w:lang w:val="en-US"/>
        </w:rPr>
        <w:t>step-parents</w:t>
      </w:r>
      <w:r w:rsidRPr="524AB998" w:rsidR="58D0A334">
        <w:rPr>
          <w:rFonts w:ascii="Calibri" w:hAnsi="Calibri" w:eastAsia="Calibri" w:cs="Calibri"/>
          <w:b w:val="0"/>
          <w:bCs w:val="0"/>
          <w:i w:val="0"/>
          <w:iCs w:val="0"/>
          <w:caps w:val="0"/>
          <w:smallCaps w:val="0"/>
          <w:noProof w:val="0"/>
          <w:color w:val="auto"/>
          <w:sz w:val="24"/>
          <w:szCs w:val="24"/>
          <w:lang w:val="en-US"/>
        </w:rPr>
        <w:t>, and anyone who stood in loco parentis to the employee when the employee was a child</w:t>
      </w:r>
      <w:r w:rsidRPr="524AB998" w:rsidR="58D0A334">
        <w:rPr>
          <w:rFonts w:ascii="Calibri" w:hAnsi="Calibri" w:eastAsia="Calibri" w:cs="Calibri"/>
          <w:b w:val="0"/>
          <w:bCs w:val="0"/>
          <w:i w:val="0"/>
          <w:iCs w:val="0"/>
          <w:caps w:val="0"/>
          <w:smallCaps w:val="0"/>
          <w:noProof w:val="0"/>
          <w:color w:val="auto"/>
          <w:sz w:val="24"/>
          <w:szCs w:val="24"/>
          <w:lang w:val="en-US"/>
        </w:rPr>
        <w:t xml:space="preserve">. </w:t>
      </w:r>
    </w:p>
    <w:p w:rsidR="1F3FBDBC" w:rsidP="524AB998" w:rsidRDefault="1F3FBDBC" w14:paraId="09CCD9EE" w14:textId="388392C3">
      <w:pPr>
        <w:pStyle w:val="ListParagraph"/>
        <w:widowControl w:val="1"/>
        <w:spacing w:line="264" w:lineRule="auto"/>
        <w:ind w:left="720"/>
        <w:rPr>
          <w:rFonts w:ascii="Calibri" w:hAnsi="Calibri" w:eastAsia="Calibri" w:cs="Calibri"/>
          <w:noProof w:val="0"/>
          <w:color w:val="auto" w:themeColor="text1" w:themeTint="FF" w:themeShade="FF"/>
          <w:sz w:val="24"/>
          <w:szCs w:val="24"/>
          <w:lang w:val="en-US"/>
        </w:rPr>
      </w:pPr>
      <w:r w:rsidRPr="524AB998" w:rsidR="58D0A334">
        <w:rPr>
          <w:rFonts w:ascii="Calibri" w:hAnsi="Calibri" w:eastAsia="Calibri" w:cs="Calibri"/>
          <w:noProof w:val="0"/>
          <w:color w:val="auto"/>
          <w:sz w:val="24"/>
          <w:szCs w:val="24"/>
          <w:lang w:val="en-US"/>
        </w:rPr>
        <w:t xml:space="preserve"> </w:t>
      </w:r>
    </w:p>
    <w:p w:rsidR="1F3FBDBC" w:rsidP="524AB998" w:rsidRDefault="1F3FBDBC" w14:paraId="41F6CA37" w14:textId="20C3207A">
      <w:pPr>
        <w:pStyle w:val="ListParagraph"/>
        <w:widowControl w:val="1"/>
        <w:numPr>
          <w:ilvl w:val="0"/>
          <w:numId w:val="8"/>
        </w:numPr>
        <w:spacing w:line="264" w:lineRule="auto"/>
        <w:rPr>
          <w:rFonts w:ascii="Calibri" w:hAnsi="Calibri" w:eastAsia="Calibri" w:cs="Calibri"/>
          <w:noProof w:val="0"/>
          <w:color w:val="auto" w:themeColor="text1" w:themeTint="FF" w:themeShade="FF"/>
          <w:sz w:val="24"/>
          <w:szCs w:val="24"/>
          <w:lang w:val="en-US"/>
        </w:rPr>
      </w:pPr>
      <w:r w:rsidRPr="524AB998" w:rsidR="1F3FBDBC">
        <w:rPr>
          <w:rFonts w:ascii="Calibri" w:hAnsi="Calibri" w:eastAsia="Calibri" w:cs="Calibri"/>
          <w:color w:val="auto"/>
          <w:sz w:val="24"/>
          <w:szCs w:val="24"/>
        </w:rPr>
        <w:t xml:space="preserve"> Child: </w:t>
      </w:r>
      <w:r w:rsidRPr="524AB998" w:rsidR="2C784C78">
        <w:rPr>
          <w:rFonts w:ascii="Calibri" w:hAnsi="Calibri" w:eastAsia="Calibri" w:cs="Calibri"/>
          <w:b w:val="0"/>
          <w:bCs w:val="0"/>
          <w:i w:val="0"/>
          <w:iCs w:val="0"/>
          <w:caps w:val="0"/>
          <w:smallCaps w:val="0"/>
          <w:noProof w:val="0"/>
          <w:color w:val="auto"/>
          <w:sz w:val="24"/>
          <w:szCs w:val="24"/>
          <w:lang w:val="en-US"/>
        </w:rPr>
        <w:t xml:space="preserve">This includes biological, adopted, foster, and </w:t>
      </w:r>
      <w:r w:rsidRPr="524AB998" w:rsidR="2C784C78">
        <w:rPr>
          <w:rFonts w:ascii="Calibri" w:hAnsi="Calibri" w:eastAsia="Calibri" w:cs="Calibri"/>
          <w:b w:val="0"/>
          <w:bCs w:val="0"/>
          <w:i w:val="0"/>
          <w:iCs w:val="0"/>
          <w:caps w:val="0"/>
          <w:smallCaps w:val="0"/>
          <w:noProof w:val="0"/>
          <w:color w:val="auto"/>
          <w:sz w:val="24"/>
          <w:szCs w:val="24"/>
          <w:lang w:val="en-US"/>
        </w:rPr>
        <w:t>step-children</w:t>
      </w:r>
      <w:r w:rsidRPr="524AB998" w:rsidR="2C784C78">
        <w:rPr>
          <w:rFonts w:ascii="Calibri" w:hAnsi="Calibri" w:eastAsia="Calibri" w:cs="Calibri"/>
          <w:b w:val="0"/>
          <w:bCs w:val="0"/>
          <w:i w:val="0"/>
          <w:iCs w:val="0"/>
          <w:caps w:val="0"/>
          <w:smallCaps w:val="0"/>
          <w:noProof w:val="0"/>
          <w:color w:val="auto"/>
          <w:sz w:val="24"/>
          <w:szCs w:val="24"/>
          <w:lang w:val="en-US"/>
        </w:rPr>
        <w:t>, as well as those under the employee's legal guardianship or who stand in loco parentis (meaning someone who has day-to-day responsibility for the child's care and financial support). For children under 18, this applies if they have a serious health condition. For adult children, it applies if they are incapable of self-care due to a mental or physical disability</w:t>
      </w:r>
      <w:r w:rsidRPr="524AB998" w:rsidR="2C784C78">
        <w:rPr>
          <w:rFonts w:ascii="Calibri" w:hAnsi="Calibri" w:eastAsia="Calibri" w:cs="Calibri"/>
          <w:b w:val="0"/>
          <w:bCs w:val="0"/>
          <w:i w:val="0"/>
          <w:iCs w:val="0"/>
          <w:caps w:val="0"/>
          <w:smallCaps w:val="0"/>
          <w:noProof w:val="0"/>
          <w:color w:val="auto"/>
          <w:sz w:val="24"/>
          <w:szCs w:val="24"/>
          <w:lang w:val="en-US"/>
        </w:rPr>
        <w:t xml:space="preserve">. </w:t>
      </w:r>
      <w:r w:rsidRPr="524AB998" w:rsidR="2C784C78">
        <w:rPr>
          <w:rFonts w:ascii="Calibri" w:hAnsi="Calibri" w:eastAsia="Calibri" w:cs="Calibri"/>
          <w:noProof w:val="0"/>
          <w:color w:val="auto"/>
          <w:sz w:val="24"/>
          <w:szCs w:val="24"/>
          <w:lang w:val="en-US"/>
        </w:rPr>
        <w:t xml:space="preserve"> </w:t>
      </w:r>
    </w:p>
    <w:p w:rsidR="524AB998" w:rsidP="524AB998" w:rsidRDefault="524AB998" w14:paraId="28F6254A" w14:textId="1FC57D03">
      <w:pPr>
        <w:pStyle w:val="ListParagraph"/>
        <w:widowControl w:val="1"/>
        <w:spacing w:line="264" w:lineRule="auto"/>
        <w:ind w:left="720"/>
        <w:rPr>
          <w:rFonts w:ascii="Calibri" w:hAnsi="Calibri" w:eastAsia="Calibri" w:cs="Calibri"/>
          <w:noProof w:val="0"/>
          <w:color w:val="auto"/>
          <w:sz w:val="24"/>
          <w:szCs w:val="24"/>
          <w:lang w:val="en-US"/>
        </w:rPr>
      </w:pPr>
    </w:p>
    <w:p w:rsidR="1F3FBDBC" w:rsidP="524AB998" w:rsidRDefault="1F3FBDBC" w14:paraId="3E714446" w14:textId="251CE6E6">
      <w:pPr>
        <w:pStyle w:val="ListParagraph"/>
        <w:widowControl w:val="1"/>
        <w:numPr>
          <w:ilvl w:val="0"/>
          <w:numId w:val="8"/>
        </w:numPr>
        <w:spacing w:line="264" w:lineRule="auto"/>
        <w:rPr>
          <w:rFonts w:ascii="Calibri" w:hAnsi="Calibri" w:eastAsia="Calibri" w:cs="Calibri"/>
          <w:noProof w:val="0"/>
          <w:color w:val="auto" w:themeColor="text1" w:themeTint="FF" w:themeShade="FF"/>
          <w:sz w:val="24"/>
          <w:szCs w:val="24"/>
          <w:lang w:val="en-US"/>
        </w:rPr>
      </w:pPr>
      <w:r w:rsidRPr="524AB998" w:rsidR="1F3FBDBC">
        <w:rPr>
          <w:rFonts w:ascii="Calibri" w:hAnsi="Calibri" w:eastAsia="Calibri" w:cs="Calibri"/>
          <w:color w:val="auto"/>
          <w:sz w:val="24"/>
          <w:szCs w:val="24"/>
        </w:rPr>
        <w:t>Spouse:</w:t>
      </w:r>
      <w:r w:rsidRPr="524AB998" w:rsidR="1F3FBDBC">
        <w:rPr>
          <w:rFonts w:ascii="Calibri" w:hAnsi="Calibri" w:eastAsia="Calibri" w:cs="Calibri"/>
          <w:color w:val="auto"/>
          <w:sz w:val="24"/>
          <w:szCs w:val="24"/>
        </w:rPr>
        <w:t xml:space="preserve"> </w:t>
      </w:r>
      <w:r w:rsidRPr="524AB998" w:rsidR="66B1F754">
        <w:rPr>
          <w:rFonts w:ascii="Calibri" w:hAnsi="Calibri" w:eastAsia="Calibri" w:cs="Calibri"/>
          <w:b w:val="0"/>
          <w:bCs w:val="0"/>
          <w:i w:val="0"/>
          <w:iCs w:val="0"/>
          <w:caps w:val="0"/>
          <w:smallCaps w:val="0"/>
          <w:noProof w:val="0"/>
          <w:color w:val="auto"/>
          <w:sz w:val="24"/>
          <w:szCs w:val="24"/>
          <w:lang w:val="en-US"/>
        </w:rPr>
        <w:t xml:space="preserve">Under the FMLA, a "spouse" is defined as a husband or wife, including those in same-sex or common-law marriages, and those validly married under the laws of another country if the marriage could have been valid in at least one U.S. state. This definition is based on the "place of celebration" rule, meaning the validity of the marriage is </w:t>
      </w:r>
      <w:r w:rsidRPr="524AB998" w:rsidR="66B1F754">
        <w:rPr>
          <w:rFonts w:ascii="Calibri" w:hAnsi="Calibri" w:eastAsia="Calibri" w:cs="Calibri"/>
          <w:b w:val="0"/>
          <w:bCs w:val="0"/>
          <w:i w:val="0"/>
          <w:iCs w:val="0"/>
          <w:caps w:val="0"/>
          <w:smallCaps w:val="0"/>
          <w:noProof w:val="0"/>
          <w:color w:val="auto"/>
          <w:sz w:val="24"/>
          <w:szCs w:val="24"/>
          <w:lang w:val="en-US"/>
        </w:rPr>
        <w:t>determined</w:t>
      </w:r>
      <w:r w:rsidRPr="524AB998" w:rsidR="66B1F754">
        <w:rPr>
          <w:rFonts w:ascii="Calibri" w:hAnsi="Calibri" w:eastAsia="Calibri" w:cs="Calibri"/>
          <w:b w:val="0"/>
          <w:bCs w:val="0"/>
          <w:i w:val="0"/>
          <w:iCs w:val="0"/>
          <w:caps w:val="0"/>
          <w:smallCaps w:val="0"/>
          <w:noProof w:val="0"/>
          <w:color w:val="auto"/>
          <w:sz w:val="24"/>
          <w:szCs w:val="24"/>
          <w:lang w:val="en-US"/>
        </w:rPr>
        <w:t xml:space="preserve"> by where it was </w:t>
      </w:r>
      <w:r w:rsidRPr="524AB998" w:rsidR="66B1F754">
        <w:rPr>
          <w:rFonts w:ascii="Calibri" w:hAnsi="Calibri" w:eastAsia="Calibri" w:cs="Calibri"/>
          <w:b w:val="0"/>
          <w:bCs w:val="0"/>
          <w:i w:val="0"/>
          <w:iCs w:val="0"/>
          <w:caps w:val="0"/>
          <w:smallCaps w:val="0"/>
          <w:noProof w:val="0"/>
          <w:color w:val="auto"/>
          <w:sz w:val="24"/>
          <w:szCs w:val="24"/>
          <w:lang w:val="en-US"/>
        </w:rPr>
        <w:t>entered into</w:t>
      </w:r>
      <w:r w:rsidRPr="524AB998" w:rsidR="66B1F754">
        <w:rPr>
          <w:rFonts w:ascii="Calibri" w:hAnsi="Calibri" w:eastAsia="Calibri" w:cs="Calibri"/>
          <w:b w:val="0"/>
          <w:bCs w:val="0"/>
          <w:i w:val="0"/>
          <w:iCs w:val="0"/>
          <w:caps w:val="0"/>
          <w:smallCaps w:val="0"/>
          <w:noProof w:val="0"/>
          <w:color w:val="auto"/>
          <w:sz w:val="24"/>
          <w:szCs w:val="24"/>
          <w:lang w:val="en-US"/>
        </w:rPr>
        <w:t xml:space="preserve">, not the employee's state of residence. Importantly, individuals in civil unions or domestic partnerships are not considered spouses under the FMLA. </w:t>
      </w:r>
      <w:r w:rsidRPr="524AB998" w:rsidR="66B1F754">
        <w:rPr>
          <w:noProof w:val="0"/>
          <w:lang w:val="en-US"/>
        </w:rPr>
        <w:t xml:space="preserve"> </w:t>
      </w:r>
    </w:p>
    <w:p w:rsidR="1F3FBDBC" w:rsidP="524AB998" w:rsidRDefault="1F3FBDBC" w14:paraId="3FB8C7E9" w14:textId="6E6D7634">
      <w:pPr>
        <w:pStyle w:val="ListParagraph"/>
        <w:widowControl w:val="1"/>
        <w:numPr>
          <w:ilvl w:val="0"/>
          <w:numId w:val="8"/>
        </w:numPr>
        <w:spacing w:line="264" w:lineRule="auto"/>
        <w:rPr>
          <w:rFonts w:ascii="Calibri" w:hAnsi="Calibri" w:eastAsia="Calibri" w:cs="Calibri"/>
          <w:noProof w:val="0"/>
          <w:color w:val="auto" w:themeColor="text1" w:themeTint="FF" w:themeShade="FF"/>
          <w:sz w:val="24"/>
          <w:szCs w:val="24"/>
          <w:lang w:val="en-US"/>
        </w:rPr>
      </w:pPr>
      <w:r w:rsidRPr="524AB998" w:rsidR="1F3FBDBC">
        <w:rPr>
          <w:rFonts w:ascii="Calibri" w:hAnsi="Calibri" w:eastAsia="Calibri" w:cs="Calibri"/>
          <w:color w:val="auto"/>
          <w:sz w:val="24"/>
          <w:szCs w:val="24"/>
        </w:rPr>
        <w:t xml:space="preserve"> Health Care Pr</w:t>
      </w:r>
      <w:r w:rsidRPr="524AB998" w:rsidR="1F3FBDBC">
        <w:rPr>
          <w:rFonts w:ascii="Calibri" w:hAnsi="Calibri" w:eastAsia="Calibri" w:cs="Calibri"/>
          <w:color w:val="auto"/>
          <w:sz w:val="24"/>
          <w:szCs w:val="24"/>
        </w:rPr>
        <w:t>ovider</w:t>
      </w:r>
      <w:r w:rsidRPr="524AB998" w:rsidR="1F3FBDBC">
        <w:rPr>
          <w:rFonts w:ascii="Calibri" w:hAnsi="Calibri" w:eastAsia="Calibri" w:cs="Calibri"/>
          <w:color w:val="auto"/>
          <w:sz w:val="24"/>
          <w:szCs w:val="24"/>
        </w:rPr>
        <w:t xml:space="preserve">: </w:t>
      </w:r>
      <w:r w:rsidRPr="524AB998" w:rsidR="6E85867C">
        <w:rPr>
          <w:rFonts w:ascii="Calibri" w:hAnsi="Calibri" w:eastAsia="Calibri" w:cs="Calibri"/>
          <w:b w:val="0"/>
          <w:bCs w:val="0"/>
          <w:i w:val="0"/>
          <w:iCs w:val="0"/>
          <w:caps w:val="0"/>
          <w:smallCaps w:val="0"/>
          <w:noProof w:val="0"/>
          <w:color w:val="auto"/>
          <w:sz w:val="24"/>
          <w:szCs w:val="24"/>
          <w:lang w:val="en-US"/>
        </w:rPr>
        <w:t xml:space="preserve">Under the </w:t>
      </w:r>
      <w:r w:rsidRPr="524AB998" w:rsidR="05FCE35B">
        <w:rPr>
          <w:rFonts w:ascii="Calibri" w:hAnsi="Calibri" w:eastAsia="Calibri" w:cs="Calibri"/>
          <w:b w:val="0"/>
          <w:bCs w:val="0"/>
          <w:i w:val="0"/>
          <w:iCs w:val="0"/>
          <w:caps w:val="0"/>
          <w:smallCaps w:val="0"/>
          <w:noProof w:val="0"/>
          <w:color w:val="auto"/>
          <w:sz w:val="24"/>
          <w:szCs w:val="24"/>
          <w:lang w:val="en-US"/>
        </w:rPr>
        <w:t>Family and Medical Leave Act</w:t>
      </w:r>
      <w:r w:rsidRPr="524AB998" w:rsidR="6E85867C">
        <w:rPr>
          <w:rFonts w:ascii="Calibri" w:hAnsi="Calibri" w:eastAsia="Calibri" w:cs="Calibri"/>
          <w:b w:val="0"/>
          <w:bCs w:val="0"/>
          <w:i w:val="0"/>
          <w:iCs w:val="0"/>
          <w:caps w:val="0"/>
          <w:smallCaps w:val="0"/>
          <w:noProof w:val="0"/>
          <w:color w:val="auto"/>
          <w:sz w:val="24"/>
          <w:szCs w:val="24"/>
          <w:lang w:val="en-US"/>
        </w:rPr>
        <w:t xml:space="preserve">, a "health care provider" is defined as a </w:t>
      </w:r>
      <w:r w:rsidRPr="524AB998" w:rsidR="6E85867C">
        <w:rPr>
          <w:rFonts w:ascii="Calibri" w:hAnsi="Calibri" w:eastAsia="Calibri" w:cs="Calibri"/>
          <w:b w:val="0"/>
          <w:bCs w:val="0"/>
          <w:i w:val="0"/>
          <w:iCs w:val="0"/>
          <w:caps w:val="0"/>
          <w:smallCaps w:val="0"/>
          <w:noProof w:val="0"/>
          <w:color w:val="auto"/>
          <w:sz w:val="24"/>
          <w:szCs w:val="24"/>
          <w:lang w:val="en-US"/>
        </w:rPr>
        <w:t>doctor of medicine</w:t>
      </w:r>
      <w:r w:rsidRPr="524AB998" w:rsidR="6E85867C">
        <w:rPr>
          <w:rFonts w:ascii="Calibri" w:hAnsi="Calibri" w:eastAsia="Calibri" w:cs="Calibri"/>
          <w:b w:val="0"/>
          <w:bCs w:val="0"/>
          <w:i w:val="0"/>
          <w:iCs w:val="0"/>
          <w:caps w:val="0"/>
          <w:smallCaps w:val="0"/>
          <w:noProof w:val="0"/>
          <w:color w:val="auto"/>
          <w:sz w:val="24"/>
          <w:szCs w:val="24"/>
          <w:lang w:val="en-US"/>
        </w:rPr>
        <w:t xml:space="preserve"> or osteopathy, or any other person </w:t>
      </w:r>
      <w:r w:rsidRPr="524AB998" w:rsidR="6E85867C">
        <w:rPr>
          <w:rFonts w:ascii="Calibri" w:hAnsi="Calibri" w:eastAsia="Calibri" w:cs="Calibri"/>
          <w:b w:val="0"/>
          <w:bCs w:val="0"/>
          <w:i w:val="0"/>
          <w:iCs w:val="0"/>
          <w:caps w:val="0"/>
          <w:smallCaps w:val="0"/>
          <w:noProof w:val="0"/>
          <w:color w:val="auto"/>
          <w:sz w:val="24"/>
          <w:szCs w:val="24"/>
          <w:lang w:val="en-US"/>
        </w:rPr>
        <w:t>determined</w:t>
      </w:r>
      <w:r w:rsidRPr="524AB998" w:rsidR="6E85867C">
        <w:rPr>
          <w:rFonts w:ascii="Calibri" w:hAnsi="Calibri" w:eastAsia="Calibri" w:cs="Calibri"/>
          <w:b w:val="0"/>
          <w:bCs w:val="0"/>
          <w:i w:val="0"/>
          <w:iCs w:val="0"/>
          <w:caps w:val="0"/>
          <w:smallCaps w:val="0"/>
          <w:noProof w:val="0"/>
          <w:color w:val="auto"/>
          <w:sz w:val="24"/>
          <w:szCs w:val="24"/>
          <w:lang w:val="en-US"/>
        </w:rPr>
        <w:t xml:space="preserve"> by the Secretary of Labor to be capable of providing health care services. This includes individuals authorized to diagnose and treat physical or mental health conditions. </w:t>
      </w:r>
    </w:p>
    <w:p w:rsidR="1F3FBDBC" w:rsidP="524AB998" w:rsidRDefault="1F3FBDBC" w14:paraId="420DADA0" w14:textId="4BC4C4AA">
      <w:pPr>
        <w:pStyle w:val="ListParagraph"/>
        <w:widowControl w:val="1"/>
        <w:spacing w:line="264" w:lineRule="auto"/>
        <w:ind w:left="720"/>
        <w:rPr>
          <w:rFonts w:ascii="Calibri" w:hAnsi="Calibri" w:eastAsia="Calibri" w:cs="Calibri"/>
          <w:noProof w:val="0"/>
          <w:color w:val="auto" w:themeColor="text1" w:themeTint="FF" w:themeShade="FF"/>
          <w:sz w:val="24"/>
          <w:szCs w:val="24"/>
          <w:lang w:val="en-US"/>
        </w:rPr>
      </w:pPr>
      <w:r w:rsidRPr="524AB998" w:rsidR="6E85867C">
        <w:rPr>
          <w:rFonts w:ascii="Calibri" w:hAnsi="Calibri" w:eastAsia="Calibri" w:cs="Calibri"/>
          <w:b w:val="0"/>
          <w:bCs w:val="0"/>
          <w:i w:val="0"/>
          <w:iCs w:val="0"/>
          <w:caps w:val="0"/>
          <w:smallCaps w:val="0"/>
          <w:noProof w:val="0"/>
          <w:color w:val="auto"/>
          <w:sz w:val="24"/>
          <w:szCs w:val="24"/>
          <w:lang w:val="en-US"/>
        </w:rPr>
        <w:t xml:space="preserve"> </w:t>
      </w:r>
    </w:p>
    <w:p w:rsidR="70FF1170" w:rsidP="524AB998" w:rsidRDefault="70FF1170" w14:paraId="74598165" w14:textId="5D28874E">
      <w:pPr>
        <w:pStyle w:val="ListParagraph"/>
        <w:widowControl w:val="1"/>
        <w:numPr>
          <w:ilvl w:val="0"/>
          <w:numId w:val="10"/>
        </w:numPr>
        <w:spacing w:line="264" w:lineRule="auto"/>
        <w:rPr>
          <w:rFonts w:ascii="Calibri" w:hAnsi="Calibri" w:eastAsia="Calibri" w:cs="Calibri"/>
          <w:noProof w:val="0"/>
          <w:color w:val="auto" w:themeColor="text1" w:themeTint="FF" w:themeShade="FF"/>
          <w:sz w:val="24"/>
          <w:szCs w:val="24"/>
          <w:lang w:val="en-US"/>
        </w:rPr>
      </w:pPr>
      <w:r w:rsidRPr="524AB998" w:rsidR="70FF1170">
        <w:rPr>
          <w:rFonts w:ascii="Calibri" w:hAnsi="Calibri" w:eastAsia="Calibri" w:cs="Calibri"/>
          <w:color w:val="auto"/>
          <w:sz w:val="24"/>
          <w:szCs w:val="24"/>
        </w:rPr>
        <w:t xml:space="preserve">Rolling 12-Month Period: </w:t>
      </w:r>
      <w:r w:rsidRPr="524AB998" w:rsidR="5C2E7249">
        <w:rPr>
          <w:rFonts w:ascii="Calibri" w:hAnsi="Calibri" w:eastAsia="Calibri" w:cs="Calibri"/>
          <w:b w:val="0"/>
          <w:bCs w:val="0"/>
          <w:i w:val="0"/>
          <w:iCs w:val="0"/>
          <w:caps w:val="0"/>
          <w:smallCaps w:val="0"/>
          <w:noProof w:val="0"/>
          <w:color w:val="auto"/>
          <w:sz w:val="24"/>
          <w:szCs w:val="24"/>
          <w:lang w:val="en-US"/>
        </w:rPr>
        <w:t xml:space="preserve">The FMLA (Family and Medical Leave Act) rolling 12-month period is calculated by looking back 12 months from the date an employee takes FMLA leave. Each time an employee takes FMLA leave, the employer calculates how much leave the employee has used in the past 12 months and subtracts that from the 12-week entitlement. This means the amount of available FMLA leave can fluctuate based on past usage. </w:t>
      </w:r>
      <w:r w:rsidRPr="524AB998" w:rsidR="5C2E7249">
        <w:rPr>
          <w:rFonts w:ascii="Calibri" w:hAnsi="Calibri" w:eastAsia="Calibri" w:cs="Calibri"/>
          <w:noProof w:val="0"/>
          <w:color w:val="auto"/>
          <w:sz w:val="24"/>
          <w:szCs w:val="24"/>
          <w:lang w:val="en-US"/>
        </w:rPr>
        <w:t xml:space="preserve"> </w:t>
      </w:r>
    </w:p>
    <w:p w:rsidRPr="009E53E0" w:rsidR="00B7239D" w:rsidP="524AB998" w:rsidRDefault="00B7239D" w14:paraId="3F9EEAF3" w14:textId="77777777">
      <w:pPr>
        <w:spacing w:line="264" w:lineRule="auto"/>
        <w:rPr>
          <w:rFonts w:ascii="Calibri" w:hAnsi="Calibri" w:cs="Calibri"/>
          <w:b w:val="1"/>
          <w:bCs w:val="1"/>
          <w:color w:val="auto" w:themeColor="text1"/>
        </w:rPr>
      </w:pPr>
    </w:p>
    <w:p w:rsidRPr="009E53E0" w:rsidR="00B7239D" w:rsidP="524AB998" w:rsidRDefault="00B7239D" w14:paraId="5508679D" w14:textId="62E9D50B">
      <w:pPr>
        <w:spacing w:line="264" w:lineRule="auto"/>
        <w:rPr>
          <w:rFonts w:ascii="Calibri" w:hAnsi="Calibri" w:cs="Calibri"/>
          <w:b w:val="1"/>
          <w:bCs w:val="1"/>
          <w:color w:val="auto" w:themeColor="text1"/>
        </w:rPr>
      </w:pPr>
      <w:r w:rsidRPr="524AB998" w:rsidR="00B7239D">
        <w:rPr>
          <w:rFonts w:ascii="Calibri" w:hAnsi="Calibri" w:cs="Calibri"/>
          <w:b w:val="1"/>
          <w:bCs w:val="1"/>
          <w:color w:val="auto"/>
        </w:rPr>
        <w:t>APPLICABILITY:</w:t>
      </w:r>
    </w:p>
    <w:p w:rsidRPr="009E53E0" w:rsidR="00B7239D" w:rsidP="524AB998" w:rsidRDefault="00B7239D" w14:paraId="12118A3A" w14:textId="77777777">
      <w:pPr>
        <w:spacing w:line="264" w:lineRule="auto"/>
        <w:rPr>
          <w:rFonts w:ascii="Calibri" w:hAnsi="Calibri" w:cs="Calibri"/>
          <w:b w:val="1"/>
          <w:bCs w:val="1"/>
          <w:color w:val="auto" w:themeColor="text1"/>
        </w:rPr>
      </w:pPr>
    </w:p>
    <w:p w:rsidRPr="009E53E0" w:rsidR="00B7239D" w:rsidP="524AB998" w:rsidRDefault="00B7239D" w14:paraId="3E7BD1B8" w14:textId="77777777">
      <w:pPr>
        <w:widowControl w:val="1"/>
        <w:spacing w:line="264" w:lineRule="auto"/>
        <w:rPr>
          <w:rFonts w:ascii="Calibri" w:hAnsi="Calibri" w:cs="Calibri"/>
          <w:snapToGrid/>
          <w:color w:val="auto" w:themeColor="text1"/>
          <w14:ligatures w14:val="none"/>
        </w:rPr>
      </w:pPr>
      <w:r w:rsidRPr="524AB998" w:rsidR="00B7239D">
        <w:rPr>
          <w:rFonts w:ascii="Calibri" w:hAnsi="Calibri" w:cs="Calibri"/>
          <w:snapToGrid/>
          <w:color w:val="auto" w:themeColor="text1"/>
          <w14:ligatures w14:val="none"/>
        </w:rPr>
        <w:t>This policy applies to all full-time and part-time employees of the City who meet the eligibility criteria for family and medical leave under FMLA.</w:t>
      </w:r>
    </w:p>
    <w:p w:rsidRPr="009E53E0" w:rsidR="00B7239D" w:rsidP="524AB998" w:rsidRDefault="00B7239D" w14:paraId="006D50EF" w14:textId="77777777">
      <w:pPr>
        <w:spacing w:line="264" w:lineRule="auto"/>
        <w:rPr>
          <w:rFonts w:ascii="Calibri" w:hAnsi="Calibri" w:cs="Calibri"/>
          <w:b w:val="1"/>
          <w:bCs w:val="1"/>
          <w:color w:val="auto" w:themeColor="text1"/>
        </w:rPr>
      </w:pPr>
    </w:p>
    <w:p w:rsidRPr="009E53E0" w:rsidR="007F0690" w:rsidP="524AB998" w:rsidRDefault="00613156" w14:paraId="7262E91E" w14:textId="3817B451">
      <w:pPr>
        <w:spacing w:line="264" w:lineRule="auto"/>
        <w:rPr>
          <w:rFonts w:ascii="Calibri" w:hAnsi="Calibri" w:cs="Calibri"/>
          <w:b w:val="1"/>
          <w:bCs w:val="1"/>
          <w:color w:val="auto" w:themeColor="text1"/>
        </w:rPr>
      </w:pPr>
      <w:r w:rsidRPr="524AB998" w:rsidR="00613156">
        <w:rPr>
          <w:rFonts w:ascii="Calibri" w:hAnsi="Calibri" w:cs="Calibri"/>
          <w:b w:val="1"/>
          <w:bCs w:val="1"/>
          <w:color w:val="auto"/>
        </w:rPr>
        <w:t>PROCEDURES:</w:t>
      </w:r>
    </w:p>
    <w:p w:rsidRPr="009E53E0" w:rsidR="00B7239D" w:rsidP="524AB998" w:rsidRDefault="00B7239D" w14:paraId="382431FF" w14:textId="77777777">
      <w:pPr>
        <w:spacing w:line="264" w:lineRule="auto"/>
        <w:rPr>
          <w:rFonts w:ascii="Calibri" w:hAnsi="Calibri" w:cs="Calibri"/>
          <w:b w:val="1"/>
          <w:bCs w:val="1"/>
          <w:color w:val="auto" w:themeColor="text1"/>
        </w:rPr>
      </w:pPr>
    </w:p>
    <w:p w:rsidRPr="009E53E0" w:rsidR="007F0690" w:rsidP="524AB998" w:rsidRDefault="007F0690" w14:paraId="57962A3E"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Eligibility for Family and Medical Leave:</w:t>
      </w:r>
    </w:p>
    <w:p w:rsidRPr="009E53E0" w:rsidR="007F0690" w:rsidP="524AB998" w:rsidRDefault="007F0690" w14:paraId="36DF8097"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must have worked for the </w:t>
      </w:r>
      <w:r w:rsidRPr="524AB998" w:rsidR="007F0690">
        <w:rPr>
          <w:rFonts w:ascii="Calibri" w:hAnsi="Calibri" w:cs="Calibri"/>
          <w:snapToGrid/>
          <w:color w:val="auto" w:themeColor="text1"/>
          <w14:ligatures w14:val="none"/>
        </w:rPr>
        <w:t>City</w:t>
      </w:r>
      <w:r w:rsidRPr="524AB998" w:rsidR="007F0690">
        <w:rPr>
          <w:rFonts w:ascii="Calibri" w:hAnsi="Calibri" w:cs="Calibri"/>
          <w:snapToGrid/>
          <w:color w:val="auto" w:themeColor="text1"/>
          <w14:ligatures w14:val="none"/>
        </w:rPr>
        <w:t xml:space="preserve"> for at least 12 months, with at least </w:t>
      </w:r>
      <w:r w:rsidRPr="524AB998" w:rsidR="007F0690">
        <w:rPr>
          <w:rFonts w:ascii="Calibri" w:hAnsi="Calibri" w:cs="Calibri"/>
          <w:snapToGrid/>
          <w:color w:val="auto" w:themeColor="text1"/>
          <w14:ligatures w14:val="none"/>
        </w:rPr>
        <w:t>1,250 hours</w:t>
      </w:r>
      <w:r w:rsidRPr="524AB998" w:rsidR="007F0690">
        <w:rPr>
          <w:rFonts w:ascii="Calibri" w:hAnsi="Calibri" w:cs="Calibri"/>
          <w:snapToGrid/>
          <w:color w:val="auto" w:themeColor="text1"/>
          <w14:ligatures w14:val="none"/>
        </w:rPr>
        <w:t xml:space="preserve"> of service during the prior 12 months.</w:t>
      </w:r>
    </w:p>
    <w:p w:rsidRPr="009E53E0" w:rsidR="007F0690" w:rsidP="524AB998" w:rsidRDefault="007F0690" w14:paraId="3754E232"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A full-time or part-time employee must have worked at least one week to be considered employed for that week.</w:t>
      </w:r>
    </w:p>
    <w:p w:rsidRPr="009E53E0" w:rsidR="007F0690" w:rsidP="524AB998" w:rsidRDefault="007F0690" w14:paraId="4E765AA0" w14:textId="7523E3EC">
      <w:pPr>
        <w:widowControl w:val="1"/>
        <w:numPr>
          <w:ilvl w:val="1"/>
          <w:numId w:val="9"/>
        </w:numPr>
        <w:spacing w:line="264" w:lineRule="auto"/>
        <w:rPr>
          <w:rFonts w:ascii="Calibri" w:hAnsi="Calibri" w:cs="Calibri"/>
          <w:snapToGrid/>
          <w:color w:val="auto" w:themeColor="text1"/>
          <w14:ligatures w14:val="none"/>
        </w:rPr>
      </w:pPr>
      <w:r w:rsidRPr="524AB998" w:rsidR="5870336D">
        <w:rPr>
          <w:rFonts w:ascii="Calibri" w:hAnsi="Calibri" w:cs="Calibri"/>
          <w:snapToGrid/>
          <w:color w:val="auto" w:themeColor="text1"/>
          <w14:ligatures w14:val="none"/>
        </w:rPr>
        <w:t xml:space="preserve">If </w:t>
      </w:r>
      <w:r w:rsidRPr="524AB998" w:rsidR="421DDE3B">
        <w:rPr>
          <w:rFonts w:ascii="Calibri" w:hAnsi="Calibri" w:cs="Calibri"/>
          <w:color w:val="auto"/>
        </w:rPr>
        <w:t>an</w:t>
      </w:r>
      <w:r w:rsidRPr="524AB998" w:rsidR="743F6B5D">
        <w:rPr>
          <w:rFonts w:ascii="Calibri" w:hAnsi="Calibri" w:cs="Calibri"/>
          <w:snapToGrid/>
          <w:color w:val="auto" w:themeColor="text1"/>
          <w14:ligatures w14:val="none"/>
        </w:rPr>
        <w:t xml:space="preserve"> </w:t>
      </w:r>
      <w:r w:rsidRPr="524AB998" w:rsidR="5313FA15">
        <w:rPr>
          <w:rFonts w:ascii="Calibri" w:hAnsi="Calibri" w:cs="Calibri"/>
          <w:snapToGrid/>
          <w:color w:val="auto" w:themeColor="text1"/>
          <w14:ligatures w14:val="none"/>
        </w:rPr>
        <w:t>e</w:t>
      </w:r>
      <w:r w:rsidRPr="524AB998" w:rsidR="007F0690">
        <w:rPr>
          <w:rFonts w:ascii="Calibri" w:hAnsi="Calibri" w:cs="Calibri"/>
          <w:snapToGrid/>
          <w:color w:val="auto" w:themeColor="text1"/>
          <w14:ligatures w14:val="none"/>
        </w:rPr>
        <w:t>mployee</w:t>
      </w:r>
      <w:r w:rsidRPr="524AB998" w:rsidR="007F0690">
        <w:rPr>
          <w:rFonts w:ascii="Calibri" w:hAnsi="Calibri" w:cs="Calibri"/>
          <w:snapToGrid/>
          <w:color w:val="auto" w:themeColor="text1"/>
          <w14:ligatures w14:val="none"/>
        </w:rPr>
        <w:t xml:space="preserve"> </w:t>
      </w:r>
      <w:r w:rsidRPr="524AB998" w:rsidR="36172C30">
        <w:rPr>
          <w:rFonts w:ascii="Calibri" w:hAnsi="Calibri" w:cs="Calibri"/>
          <w:snapToGrid/>
          <w:color w:val="auto" w:themeColor="text1"/>
          <w14:ligatures w14:val="none"/>
        </w:rPr>
        <w:t>is</w:t>
      </w:r>
      <w:r w:rsidRPr="524AB998" w:rsidR="007F0690">
        <w:rPr>
          <w:rFonts w:ascii="Calibri" w:hAnsi="Calibri" w:cs="Calibri"/>
          <w:snapToGrid/>
          <w:color w:val="auto" w:themeColor="text1"/>
          <w14:ligatures w14:val="none"/>
        </w:rPr>
        <w:t xml:space="preserve"> </w:t>
      </w:r>
      <w:r w:rsidRPr="524AB998" w:rsidR="0053C5FB">
        <w:rPr>
          <w:rFonts w:ascii="Calibri" w:hAnsi="Calibri" w:cs="Calibri"/>
          <w:snapToGrid/>
          <w:color w:val="auto" w:themeColor="text1"/>
          <w14:ligatures w14:val="none"/>
        </w:rPr>
        <w:t xml:space="preserve">o</w:t>
      </w:r>
      <w:r w:rsidRPr="524AB998" w:rsidR="007F0690">
        <w:rPr>
          <w:rFonts w:ascii="Calibri" w:hAnsi="Calibri" w:cs="Calibri"/>
          <w:snapToGrid/>
          <w:color w:val="auto" w:themeColor="text1"/>
          <w14:ligatures w14:val="none"/>
        </w:rPr>
        <w:t xml:space="preserve">ff work for more than five (5) working days or 60 hours (for dispatch, police, or fire shifts)</w:t>
      </w:r>
      <w:r w:rsidRPr="524AB998" w:rsidR="394C99BB">
        <w:rPr>
          <w:rFonts w:ascii="Calibri" w:hAnsi="Calibri" w:cs="Calibri"/>
          <w:color w:val="auto"/>
        </w:rPr>
        <w:t xml:space="preserve"> they should apply for FMLA </w:t>
      </w:r>
      <w:r w:rsidRPr="524AB998" w:rsidR="394C99BB">
        <w:rPr>
          <w:rFonts w:ascii="Calibri" w:hAnsi="Calibri" w:cs="Calibri"/>
          <w:snapToGrid/>
          <w:color w:val="auto" w:themeColor="text1"/>
          <w14:ligatures w14:val="none"/>
        </w:rPr>
        <w:t xml:space="preserve">leave</w:t>
      </w:r>
      <w:r w:rsidRPr="524AB998" w:rsidR="1CC565D3">
        <w:rPr>
          <w:rFonts w:ascii="Calibri" w:hAnsi="Calibri" w:cs="Calibri"/>
          <w:snapToGrid/>
          <w:color w:val="auto" w:themeColor="text1"/>
          <w14:ligatures w14:val="none"/>
        </w:rPr>
        <w:t xml:space="preserve"> or their supervisor should contact Human Resources about placing the </w:t>
      </w:r>
      <w:r w:rsidRPr="524AB998" w:rsidR="1CC565D3">
        <w:rPr>
          <w:rFonts w:ascii="Calibri" w:hAnsi="Calibri" w:cs="Calibri"/>
          <w:snapToGrid/>
          <w:color w:val="auto" w:themeColor="text1"/>
          <w14:ligatures w14:val="none"/>
        </w:rPr>
        <w:t>employee on FMLA leave</w:t>
      </w:r>
      <w:r w:rsidRPr="524AB998" w:rsidR="007F0690">
        <w:rPr>
          <w:rFonts w:ascii="Calibri" w:hAnsi="Calibri" w:cs="Calibri"/>
          <w:snapToGrid/>
          <w:color w:val="auto" w:themeColor="text1"/>
          <w14:ligatures w14:val="none"/>
        </w:rPr>
        <w:t>.</w:t>
      </w:r>
    </w:p>
    <w:p w:rsidRPr="009E53E0" w:rsidR="00151D68" w:rsidP="524AB998" w:rsidRDefault="00151D68" w14:paraId="72115EB1"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2D7F8A63"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lastRenderedPageBreak/>
        <w:t>Eligible Reasons for Family and Medical Leave:</w:t>
      </w:r>
    </w:p>
    <w:p w:rsidRPr="009E53E0" w:rsidR="007F0690" w:rsidP="524AB998" w:rsidRDefault="007F0690" w14:paraId="10ECBEC6" w14:textId="309AD042">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Birth</w:t>
      </w:r>
      <w:r w:rsidRPr="524AB998" w:rsidR="3EB3B199">
        <w:rPr>
          <w:rFonts w:ascii="Calibri" w:hAnsi="Calibri" w:cs="Calibri"/>
          <w:color w:val="auto"/>
        </w:rPr>
        <w:t>,</w:t>
      </w:r>
      <w:r w:rsidRPr="524AB998" w:rsidR="4D31533B">
        <w:rPr>
          <w:rFonts w:ascii="Calibri" w:hAnsi="Calibri" w:cs="Calibri"/>
          <w:snapToGrid/>
          <w:color w:val="auto" w:themeColor="text1"/>
          <w14:ligatures w14:val="none"/>
        </w:rPr>
        <w:t xml:space="preserve"> </w:t>
      </w:r>
      <w:r w:rsidRPr="524AB998" w:rsidR="007F0690">
        <w:rPr>
          <w:rFonts w:ascii="Calibri" w:hAnsi="Calibri" w:cs="Calibri"/>
          <w:snapToGrid/>
          <w:color w:val="auto" w:themeColor="text1"/>
          <w14:ligatures w14:val="none"/>
        </w:rPr>
        <w:t xml:space="preserve">care</w:t>
      </w:r>
      <w:r w:rsidRPr="524AB998" w:rsidR="72E50595">
        <w:rPr>
          <w:rFonts w:ascii="Calibri" w:hAnsi="Calibri" w:cs="Calibri"/>
          <w:snapToGrid/>
          <w:color w:val="auto" w:themeColor="text1"/>
          <w14:ligatures w14:val="none"/>
        </w:rPr>
        <w:t xml:space="preserve">, or bonding</w:t>
      </w:r>
      <w:r w:rsidRPr="524AB998" w:rsidR="007F0690">
        <w:rPr>
          <w:rFonts w:ascii="Calibri" w:hAnsi="Calibri" w:cs="Calibri"/>
          <w:snapToGrid/>
          <w:color w:val="auto" w:themeColor="text1"/>
          <w14:ligatures w14:val="none"/>
        </w:rPr>
        <w:t xml:space="preserve"> </w:t>
      </w:r>
      <w:r w:rsidRPr="524AB998" w:rsidR="00613156">
        <w:rPr>
          <w:rFonts w:ascii="Calibri" w:hAnsi="Calibri" w:cs="Calibri"/>
          <w:snapToGrid/>
          <w:color w:val="auto" w:themeColor="text1"/>
          <w14:ligatures w14:val="none"/>
        </w:rPr>
        <w:t>for</w:t>
      </w:r>
      <w:r w:rsidRPr="524AB998" w:rsidR="007F0690">
        <w:rPr>
          <w:rFonts w:ascii="Calibri" w:hAnsi="Calibri" w:cs="Calibri"/>
          <w:snapToGrid/>
          <w:color w:val="auto" w:themeColor="text1"/>
          <w14:ligatures w14:val="none"/>
        </w:rPr>
        <w:t xml:space="preserve"> </w:t>
      </w:r>
      <w:r w:rsidRPr="524AB998" w:rsidR="5AB61C0D">
        <w:rPr>
          <w:rFonts w:ascii="Calibri" w:hAnsi="Calibri" w:cs="Calibri"/>
          <w:snapToGrid/>
          <w:color w:val="auto" w:themeColor="text1"/>
          <w14:ligatures w14:val="none"/>
        </w:rPr>
        <w:t xml:space="preserve">or with </w:t>
      </w:r>
      <w:r w:rsidRPr="524AB998" w:rsidR="007F0690">
        <w:rPr>
          <w:rFonts w:ascii="Calibri" w:hAnsi="Calibri" w:cs="Calibri"/>
          <w:snapToGrid/>
          <w:color w:val="auto" w:themeColor="text1"/>
          <w14:ligatures w14:val="none"/>
        </w:rPr>
        <w:t xml:space="preserve">a newborn child within 12 months of birth.</w:t>
      </w:r>
    </w:p>
    <w:p w:rsidRPr="009E53E0" w:rsidR="007F0690" w:rsidP="524AB998" w:rsidRDefault="007F0690" w14:paraId="655F7E5B"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Placement of a child for adoption or foster care within 12 months of placement.</w:t>
      </w:r>
    </w:p>
    <w:p w:rsidRPr="009E53E0" w:rsidR="007F0690" w:rsidP="524AB998" w:rsidRDefault="007F0690" w14:paraId="1B7F4D64"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Care for a spouse, child, or parent with a serious health condition.</w:t>
      </w:r>
    </w:p>
    <w:p w:rsidRPr="009E53E0" w:rsidR="007F0690" w:rsidP="524AB998" w:rsidRDefault="007F0690" w14:paraId="7DC8B11E"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Employee’s own serious health condition that makes the employee unable to perform their essential job functions (including workers' compensation injuries).</w:t>
      </w:r>
    </w:p>
    <w:p w:rsidRPr="009E53E0" w:rsidR="007F0690" w:rsidP="524AB998" w:rsidRDefault="007F0690" w14:paraId="173FCA28"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Qualifying exigency due to a family member being on active duty or </w:t>
      </w:r>
      <w:r w:rsidRPr="524AB998" w:rsidR="007F0690">
        <w:rPr>
          <w:rFonts w:ascii="Calibri" w:hAnsi="Calibri" w:cs="Calibri"/>
          <w:snapToGrid/>
          <w:color w:val="auto" w:themeColor="text1"/>
          <w14:ligatures w14:val="none"/>
        </w:rPr>
        <w:t>called to</w:t>
      </w:r>
      <w:r w:rsidRPr="524AB998" w:rsidR="007F0690">
        <w:rPr>
          <w:rFonts w:ascii="Calibri" w:hAnsi="Calibri" w:cs="Calibri"/>
          <w:snapToGrid/>
          <w:color w:val="auto" w:themeColor="text1"/>
          <w14:ligatures w14:val="none"/>
        </w:rPr>
        <w:t xml:space="preserve"> active duty in the military.</w:t>
      </w:r>
    </w:p>
    <w:p w:rsidRPr="009E53E0" w:rsidR="007F0690" w:rsidP="524AB998" w:rsidRDefault="007F0690" w14:paraId="053B168F"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Care for a family member who suffered an injury or illness in the line of duty in the military.</w:t>
      </w:r>
    </w:p>
    <w:p w:rsidRPr="009E53E0" w:rsidR="00151D68" w:rsidP="524AB998" w:rsidRDefault="00151D68" w14:paraId="597FCD29" w14:textId="77777777">
      <w:pPr>
        <w:widowControl w:val="1"/>
        <w:spacing w:line="264" w:lineRule="auto"/>
        <w:ind w:left="1440"/>
        <w:rPr>
          <w:rFonts w:ascii="Calibri" w:hAnsi="Calibri" w:cs="Calibri"/>
          <w:snapToGrid/>
          <w:color w:val="auto" w:themeColor="text1"/>
          <w14:ligatures w14:val="none"/>
        </w:rPr>
      </w:pPr>
    </w:p>
    <w:p w:rsidRPr="009E53E0" w:rsidR="007F0690" w:rsidP="01A6C433" w:rsidRDefault="007F0690" w14:paraId="46DD1E00" w14:textId="77777777">
      <w:pPr>
        <w:widowControl w:val="1"/>
        <w:spacing w:line="264" w:lineRule="auto"/>
        <w:rPr>
          <w:rFonts w:ascii="Calibri" w:hAnsi="Calibri" w:cs="Calibri"/>
          <w:snapToGrid/>
          <w:color w:val="000000" w:themeColor="text1" w:themeTint="FF" w:themeShade="FF"/>
          <w14:ligatures w14:val="none"/>
        </w:rPr>
      </w:pPr>
      <w:r w:rsidRPr="01A6C433" w:rsidR="007F0690">
        <w:rPr>
          <w:rFonts w:ascii="Calibri" w:hAnsi="Calibri" w:cs="Calibri"/>
          <w:snapToGrid/>
          <w:color w:val="000000" w:themeColor="text1" w:themeTint="FF" w:themeShade="FF"/>
          <w14:ligatures w14:val="none"/>
        </w:rPr>
        <w:t>Medical Certification:</w:t>
      </w:r>
    </w:p>
    <w:p w:rsidRPr="009E53E0" w:rsidR="007F0690" w:rsidP="524AB998" w:rsidRDefault="007F0690" w14:paraId="2BD4CCBA"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must provide medical certifications for serious health conditions, </w:t>
      </w:r>
      <w:r w:rsidRPr="524AB998" w:rsidR="007F0690">
        <w:rPr>
          <w:rFonts w:ascii="Calibri" w:hAnsi="Calibri" w:cs="Calibri"/>
          <w:snapToGrid/>
          <w:color w:val="auto" w:themeColor="text1"/>
          <w14:ligatures w14:val="none"/>
        </w:rPr>
        <w:t>which must</w:t>
      </w:r>
      <w:r w:rsidRPr="524AB998" w:rsidR="007F0690">
        <w:rPr>
          <w:rFonts w:ascii="Calibri" w:hAnsi="Calibri" w:cs="Calibri"/>
          <w:snapToGrid/>
          <w:color w:val="auto" w:themeColor="text1"/>
          <w14:ligatures w14:val="none"/>
        </w:rPr>
        <w:t xml:space="preserve"> meet specific legal requirements.</w:t>
      </w:r>
    </w:p>
    <w:p w:rsidRPr="009E53E0" w:rsidR="007F0690" w:rsidP="524AB998" w:rsidRDefault="007F0690" w14:paraId="1DBED689"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Certifications must be </w:t>
      </w:r>
      <w:r w:rsidRPr="524AB998" w:rsidR="007F0690">
        <w:rPr>
          <w:rFonts w:ascii="Calibri" w:hAnsi="Calibri" w:cs="Calibri"/>
          <w:snapToGrid/>
          <w:color w:val="auto" w:themeColor="text1"/>
          <w14:ligatures w14:val="none"/>
        </w:rPr>
        <w:t>submitted</w:t>
      </w:r>
      <w:r w:rsidRPr="524AB998" w:rsidR="007F0690">
        <w:rPr>
          <w:rFonts w:ascii="Calibri" w:hAnsi="Calibri" w:cs="Calibri"/>
          <w:snapToGrid/>
          <w:color w:val="auto" w:themeColor="text1"/>
          <w14:ligatures w14:val="none"/>
        </w:rPr>
        <w:t xml:space="preserve"> to and approved by Human Resources on the </w:t>
      </w:r>
      <w:r w:rsidRPr="524AB998" w:rsidR="007F0690">
        <w:rPr>
          <w:rFonts w:ascii="Calibri" w:hAnsi="Calibri" w:cs="Calibri"/>
          <w:snapToGrid/>
          <w:color w:val="auto" w:themeColor="text1"/>
          <w14:ligatures w14:val="none"/>
        </w:rPr>
        <w:t>appropriate documents</w:t>
      </w:r>
      <w:r w:rsidRPr="524AB998" w:rsidR="007F0690">
        <w:rPr>
          <w:rFonts w:ascii="Calibri" w:hAnsi="Calibri" w:cs="Calibri"/>
          <w:snapToGrid/>
          <w:color w:val="auto" w:themeColor="text1"/>
          <w14:ligatures w14:val="none"/>
        </w:rPr>
        <w:t>.</w:t>
      </w:r>
    </w:p>
    <w:p w:rsidRPr="009E53E0" w:rsidR="007F0690" w:rsidP="524AB998" w:rsidRDefault="007F0690" w14:paraId="3D390CE1"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If necessary, the </w:t>
      </w:r>
      <w:r w:rsidRPr="524AB998" w:rsidR="007F0690">
        <w:rPr>
          <w:rFonts w:ascii="Calibri" w:hAnsi="Calibri" w:cs="Calibri"/>
          <w:snapToGrid/>
          <w:color w:val="auto" w:themeColor="text1"/>
          <w14:ligatures w14:val="none"/>
        </w:rPr>
        <w:t>City</w:t>
      </w:r>
      <w:r w:rsidRPr="524AB998" w:rsidR="007F0690">
        <w:rPr>
          <w:rFonts w:ascii="Calibri" w:hAnsi="Calibri" w:cs="Calibri"/>
          <w:snapToGrid/>
          <w:color w:val="auto" w:themeColor="text1"/>
          <w14:ligatures w14:val="none"/>
        </w:rPr>
        <w:t xml:space="preserve"> may request a second opinion or a third opinion (in case of conflicts) </w:t>
      </w:r>
      <w:r w:rsidRPr="524AB998" w:rsidR="007F0690">
        <w:rPr>
          <w:rFonts w:ascii="Calibri" w:hAnsi="Calibri" w:cs="Calibri"/>
          <w:snapToGrid/>
          <w:color w:val="auto" w:themeColor="text1"/>
          <w14:ligatures w14:val="none"/>
        </w:rPr>
        <w:t>regarding</w:t>
      </w:r>
      <w:r w:rsidRPr="524AB998" w:rsidR="007F0690">
        <w:rPr>
          <w:rFonts w:ascii="Calibri" w:hAnsi="Calibri" w:cs="Calibri"/>
          <w:snapToGrid/>
          <w:color w:val="auto" w:themeColor="text1"/>
          <w14:ligatures w14:val="none"/>
        </w:rPr>
        <w:t xml:space="preserve"> medical certifications.</w:t>
      </w:r>
    </w:p>
    <w:p w:rsidRPr="009E53E0" w:rsidR="00FD09C9" w:rsidP="524AB998" w:rsidRDefault="00FD09C9" w14:paraId="29229648"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50AFD5AD"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Duration of Leave:</w:t>
      </w:r>
    </w:p>
    <w:p w:rsidRPr="009E53E0" w:rsidR="007F0690" w:rsidP="524AB998" w:rsidRDefault="007F0690" w14:paraId="04A521B2"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Eligible employees may take up to </w:t>
      </w:r>
      <w:r w:rsidRPr="524AB998" w:rsidR="007F0690">
        <w:rPr>
          <w:rFonts w:ascii="Calibri" w:hAnsi="Calibri" w:cs="Calibri"/>
          <w:snapToGrid/>
          <w:color w:val="auto" w:themeColor="text1"/>
          <w14:ligatures w14:val="none"/>
        </w:rPr>
        <w:t>12 weeks</w:t>
      </w:r>
      <w:r w:rsidRPr="524AB998" w:rsidR="007F0690">
        <w:rPr>
          <w:rFonts w:ascii="Calibri" w:hAnsi="Calibri" w:cs="Calibri"/>
          <w:snapToGrid/>
          <w:color w:val="auto" w:themeColor="text1"/>
          <w14:ligatures w14:val="none"/>
        </w:rPr>
        <w:t xml:space="preserve"> of leave within a rolling 12-month period.</w:t>
      </w:r>
    </w:p>
    <w:p w:rsidRPr="009E53E0" w:rsidR="007F0690" w:rsidP="524AB998" w:rsidRDefault="007F0690" w14:paraId="4E0A66F4"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For qualifying exigency leave, employees may take longer than </w:t>
      </w:r>
      <w:r w:rsidRPr="524AB998" w:rsidR="007F0690">
        <w:rPr>
          <w:rFonts w:ascii="Calibri" w:hAnsi="Calibri" w:cs="Calibri"/>
          <w:snapToGrid/>
          <w:color w:val="auto" w:themeColor="text1"/>
          <w14:ligatures w14:val="none"/>
        </w:rPr>
        <w:t>12 weeks</w:t>
      </w:r>
      <w:r w:rsidRPr="524AB998" w:rsidR="007F0690">
        <w:rPr>
          <w:rFonts w:ascii="Calibri" w:hAnsi="Calibri" w:cs="Calibri"/>
          <w:snapToGrid/>
          <w:color w:val="auto" w:themeColor="text1"/>
          <w14:ligatures w14:val="none"/>
        </w:rPr>
        <w:t xml:space="preserve"> if </w:t>
      </w:r>
      <w:r w:rsidRPr="524AB998" w:rsidR="007F0690">
        <w:rPr>
          <w:rFonts w:ascii="Calibri" w:hAnsi="Calibri" w:cs="Calibri"/>
          <w:snapToGrid/>
          <w:color w:val="auto" w:themeColor="text1"/>
          <w14:ligatures w14:val="none"/>
        </w:rPr>
        <w:t>required</w:t>
      </w:r>
      <w:r w:rsidRPr="524AB998" w:rsidR="007F0690">
        <w:rPr>
          <w:rFonts w:ascii="Calibri" w:hAnsi="Calibri" w:cs="Calibri"/>
          <w:snapToGrid/>
          <w:color w:val="auto" w:themeColor="text1"/>
          <w14:ligatures w14:val="none"/>
        </w:rPr>
        <w:t>.</w:t>
      </w:r>
    </w:p>
    <w:p w:rsidRPr="009E53E0" w:rsidR="00FD09C9" w:rsidP="524AB998" w:rsidRDefault="00FD09C9" w14:paraId="30A80A6D"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001C8ED0" w14:textId="50024C95">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Leave</w:t>
      </w:r>
      <w:r w:rsidRPr="524AB998" w:rsidR="3E8FF88A">
        <w:rPr>
          <w:rFonts w:ascii="Calibri" w:hAnsi="Calibri" w:cs="Calibri"/>
          <w:snapToGrid/>
          <w:color w:val="auto" w:themeColor="text1"/>
          <w14:ligatures w14:val="none"/>
        </w:rPr>
        <w:t xml:space="preserve"> If Both Spouses Work for the City</w:t>
      </w:r>
      <w:r w:rsidRPr="524AB998" w:rsidR="007F0690">
        <w:rPr>
          <w:rFonts w:ascii="Calibri" w:hAnsi="Calibri" w:cs="Calibri"/>
          <w:snapToGrid/>
          <w:color w:val="auto" w:themeColor="text1"/>
          <w14:ligatures w14:val="none"/>
        </w:rPr>
        <w:t>:</w:t>
      </w:r>
    </w:p>
    <w:p w:rsidRPr="009E53E0" w:rsidR="007F0690" w:rsidP="524AB998" w:rsidRDefault="007F0690" w14:paraId="629F71D1" w14:textId="7CFC2012">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If both spouses work for the </w:t>
      </w:r>
      <w:r w:rsidRPr="524AB998" w:rsidR="007F0690">
        <w:rPr>
          <w:rFonts w:ascii="Calibri" w:hAnsi="Calibri" w:cs="Calibri"/>
          <w:snapToGrid/>
          <w:color w:val="auto" w:themeColor="text1"/>
          <w14:ligatures w14:val="none"/>
        </w:rPr>
        <w:t>City</w:t>
      </w:r>
      <w:r w:rsidRPr="524AB998" w:rsidR="007F0690">
        <w:rPr>
          <w:rFonts w:ascii="Calibri" w:hAnsi="Calibri" w:cs="Calibri"/>
          <w:snapToGrid/>
          <w:color w:val="auto" w:themeColor="text1"/>
          <w14:ligatures w14:val="none"/>
        </w:rPr>
        <w:t xml:space="preserve">, they may only take a combined total of </w:t>
      </w:r>
      <w:r w:rsidRPr="524AB998" w:rsidR="007F0690">
        <w:rPr>
          <w:rFonts w:ascii="Calibri" w:hAnsi="Calibri" w:cs="Calibri"/>
          <w:snapToGrid/>
          <w:color w:val="auto" w:themeColor="text1"/>
          <w14:ligatures w14:val="none"/>
        </w:rPr>
        <w:t>12 weeks</w:t>
      </w:r>
      <w:r w:rsidRPr="524AB998" w:rsidR="007F0690">
        <w:rPr>
          <w:rFonts w:ascii="Calibri" w:hAnsi="Calibri" w:cs="Calibri"/>
          <w:snapToGrid/>
          <w:color w:val="auto" w:themeColor="text1"/>
          <w14:ligatures w14:val="none"/>
        </w:rPr>
        <w:t xml:space="preserve"> of leave for the birth, </w:t>
      </w:r>
      <w:r w:rsidRPr="524AB998" w:rsidR="0F6BC6FB">
        <w:rPr>
          <w:rFonts w:ascii="Calibri" w:hAnsi="Calibri" w:cs="Calibri"/>
          <w:snapToGrid/>
          <w:color w:val="auto" w:themeColor="text1"/>
          <w14:ligatures w14:val="none"/>
        </w:rPr>
        <w:t xml:space="preserve">bonding, care, </w:t>
      </w:r>
      <w:r w:rsidRPr="524AB998" w:rsidR="007F0690">
        <w:rPr>
          <w:rFonts w:ascii="Calibri" w:hAnsi="Calibri" w:cs="Calibri"/>
          <w:snapToGrid/>
          <w:color w:val="auto" w:themeColor="text1"/>
          <w14:ligatures w14:val="none"/>
        </w:rPr>
        <w:t>adoption, or placement of a child.</w:t>
      </w:r>
    </w:p>
    <w:p w:rsidRPr="009E53E0" w:rsidR="00FD09C9" w:rsidP="524AB998" w:rsidRDefault="00FD09C9" w14:paraId="01F83364"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19DE37DF"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Use of Paid and Unpaid Leave:</w:t>
      </w:r>
    </w:p>
    <w:p w:rsidRPr="009E53E0" w:rsidR="007F0690" w:rsidP="524AB998" w:rsidRDefault="007F0690" w14:paraId="7D1218CF"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must use </w:t>
      </w:r>
      <w:r w:rsidRPr="524AB998" w:rsidR="007F0690">
        <w:rPr>
          <w:rFonts w:ascii="Calibri" w:hAnsi="Calibri" w:cs="Calibri"/>
          <w:snapToGrid/>
          <w:color w:val="auto" w:themeColor="text1"/>
          <w14:ligatures w14:val="none"/>
        </w:rPr>
        <w:t>accrued</w:t>
      </w:r>
      <w:r w:rsidRPr="524AB998" w:rsidR="007F0690">
        <w:rPr>
          <w:rFonts w:ascii="Calibri" w:hAnsi="Calibri" w:cs="Calibri"/>
          <w:snapToGrid/>
          <w:color w:val="auto" w:themeColor="text1"/>
          <w14:ligatures w14:val="none"/>
        </w:rPr>
        <w:t xml:space="preserve"> paid leave before using unpaid leave under FMLA.</w:t>
      </w:r>
    </w:p>
    <w:p w:rsidRPr="009E53E0" w:rsidR="007F0690" w:rsidP="524AB998" w:rsidRDefault="007F0690" w14:paraId="3A4EC33F"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Once paid leave is exhausted, employees may take unpaid leave.</w:t>
      </w:r>
    </w:p>
    <w:p w:rsidRPr="009E53E0" w:rsidR="00FD09C9" w:rsidP="524AB998" w:rsidRDefault="00FD09C9" w14:paraId="669BAFEE"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7AA52013"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Intermittent Leave:</w:t>
      </w:r>
    </w:p>
    <w:p w:rsidRPr="009E53E0" w:rsidR="007F0690" w:rsidP="524AB998" w:rsidRDefault="007F0690" w14:paraId="2BCC7117" w14:textId="77777777" w14:noSpellErr="1">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may take intermittent leave as needed for FMLA, up to a total of </w:t>
      </w:r>
      <w:r w:rsidRPr="524AB998" w:rsidR="007F0690">
        <w:rPr>
          <w:rFonts w:ascii="Calibri" w:hAnsi="Calibri" w:cs="Calibri"/>
          <w:snapToGrid/>
          <w:color w:val="auto" w:themeColor="text1"/>
          <w14:ligatures w14:val="none"/>
        </w:rPr>
        <w:t>12 weeks</w:t>
      </w:r>
      <w:r w:rsidRPr="524AB998" w:rsidR="007F0690">
        <w:rPr>
          <w:rFonts w:ascii="Calibri" w:hAnsi="Calibri" w:cs="Calibri"/>
          <w:snapToGrid/>
          <w:color w:val="auto" w:themeColor="text1"/>
          <w14:ligatures w14:val="none"/>
        </w:rPr>
        <w:t>, unless the leave involves exigency.</w:t>
      </w:r>
    </w:p>
    <w:p w:rsidR="41E0D858" w:rsidP="524AB998" w:rsidRDefault="41E0D858" w14:paraId="37B3DC64" w14:textId="3C197212">
      <w:pPr>
        <w:pStyle w:val="ListParagraph"/>
        <w:widowControl w:val="1"/>
        <w:numPr>
          <w:ilvl w:val="1"/>
          <w:numId w:val="9"/>
        </w:numPr>
        <w:spacing w:line="264" w:lineRule="auto"/>
        <w:rPr>
          <w:rFonts w:ascii="Calibri" w:hAnsi="Calibri" w:cs="Calibri"/>
          <w:color w:val="auto" w:themeColor="text1" w:themeTint="FF" w:themeShade="FF"/>
          <w:sz w:val="24"/>
          <w:szCs w:val="24"/>
        </w:rPr>
      </w:pPr>
      <w:r w:rsidRPr="524AB998" w:rsidR="41E0D858">
        <w:rPr>
          <w:rFonts w:ascii="Calibri" w:hAnsi="Calibri" w:cs="Calibri"/>
          <w:color w:val="auto"/>
        </w:rPr>
        <w:t>Intermittent leave will be tracked on a pro-rata basis from the employee’s 12-</w:t>
      </w:r>
      <w:r w:rsidRPr="524AB998" w:rsidR="3A7F6483">
        <w:rPr>
          <w:rFonts w:ascii="Calibri" w:hAnsi="Calibri" w:cs="Calibri"/>
          <w:color w:val="auto"/>
        </w:rPr>
        <w:t>week entitlement</w:t>
      </w:r>
      <w:r w:rsidRPr="524AB998" w:rsidR="41E0D858">
        <w:rPr>
          <w:rFonts w:ascii="Calibri" w:hAnsi="Calibri" w:cs="Calibri"/>
          <w:color w:val="auto"/>
        </w:rPr>
        <w:t>.</w:t>
      </w:r>
    </w:p>
    <w:p w:rsidRPr="009E53E0" w:rsidR="007F0690" w:rsidP="524AB998" w:rsidRDefault="007F0690" w14:paraId="5D1B4051"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During intermittent leave, employees may be temporarily transferred to alternative positions with equivalent pay and benefits to meet service requirements.</w:t>
      </w:r>
    </w:p>
    <w:p w:rsidRPr="009E53E0" w:rsidR="00FD09C9" w:rsidP="524AB998" w:rsidRDefault="00FD09C9" w14:paraId="452C43B1"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797F4FC5"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lastRenderedPageBreak/>
        <w:t>Limitations on Intermittent Leave:</w:t>
      </w:r>
    </w:p>
    <w:p w:rsidRPr="009E53E0" w:rsidR="007F0690" w:rsidP="524AB998" w:rsidRDefault="007F0690" w14:paraId="24242B6F" w14:textId="75379A85">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may not take intermittent leave for the birth, </w:t>
      </w:r>
      <w:r w:rsidRPr="524AB998" w:rsidR="0DC1177D">
        <w:rPr>
          <w:rFonts w:ascii="Calibri" w:hAnsi="Calibri" w:cs="Calibri"/>
          <w:snapToGrid/>
          <w:color w:val="auto" w:themeColor="text1"/>
          <w14:ligatures w14:val="none"/>
        </w:rPr>
        <w:t xml:space="preserve">care, bonding, </w:t>
      </w:r>
      <w:r w:rsidRPr="524AB998" w:rsidR="007F0690">
        <w:rPr>
          <w:rFonts w:ascii="Calibri" w:hAnsi="Calibri" w:cs="Calibri"/>
          <w:snapToGrid/>
          <w:color w:val="auto" w:themeColor="text1"/>
          <w14:ligatures w14:val="none"/>
        </w:rPr>
        <w:t>adoption, or placement of a child.</w:t>
      </w:r>
    </w:p>
    <w:p w:rsidRPr="009E53E0" w:rsidR="00FD09C9" w:rsidP="524AB998" w:rsidRDefault="00FD09C9" w14:paraId="48E947FE"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1AA30656"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Notification and Coordination:</w:t>
      </w:r>
    </w:p>
    <w:p w:rsidRPr="009E53E0" w:rsidR="007F0690" w:rsidP="524AB998" w:rsidRDefault="007F0690" w14:paraId="7B36CFE1"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All FMLA leave requests must be </w:t>
      </w:r>
      <w:r w:rsidRPr="524AB998" w:rsidR="007F0690">
        <w:rPr>
          <w:rFonts w:ascii="Calibri" w:hAnsi="Calibri" w:cs="Calibri"/>
          <w:snapToGrid/>
          <w:color w:val="auto" w:themeColor="text1"/>
          <w14:ligatures w14:val="none"/>
        </w:rPr>
        <w:t>submitted</w:t>
      </w:r>
      <w:r w:rsidRPr="524AB998" w:rsidR="007F0690">
        <w:rPr>
          <w:rFonts w:ascii="Calibri" w:hAnsi="Calibri" w:cs="Calibri"/>
          <w:snapToGrid/>
          <w:color w:val="auto" w:themeColor="text1"/>
          <w14:ligatures w14:val="none"/>
        </w:rPr>
        <w:t xml:space="preserve"> in writing to Human Resources, where certification documents will be reviewed and </w:t>
      </w:r>
      <w:r w:rsidRPr="524AB998" w:rsidR="007F0690">
        <w:rPr>
          <w:rFonts w:ascii="Calibri" w:hAnsi="Calibri" w:cs="Calibri"/>
          <w:snapToGrid/>
          <w:color w:val="auto" w:themeColor="text1"/>
          <w14:ligatures w14:val="none"/>
        </w:rPr>
        <w:t>maintained</w:t>
      </w:r>
      <w:r w:rsidRPr="524AB998" w:rsidR="007F0690">
        <w:rPr>
          <w:rFonts w:ascii="Calibri" w:hAnsi="Calibri" w:cs="Calibri"/>
          <w:snapToGrid/>
          <w:color w:val="auto" w:themeColor="text1"/>
          <w14:ligatures w14:val="none"/>
        </w:rPr>
        <w:t>.</w:t>
      </w:r>
    </w:p>
    <w:p w:rsidRPr="009E53E0" w:rsidR="007F0690" w:rsidP="524AB998" w:rsidRDefault="007F0690" w14:paraId="00D1E540"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In emergencies, supervisors will coordinate with employees or their next of kin to obtain information on the circumstances requiring leave.</w:t>
      </w:r>
    </w:p>
    <w:p w:rsidRPr="009E53E0" w:rsidR="00FD09C9" w:rsidP="524AB998" w:rsidRDefault="00FD09C9" w14:paraId="7F8C0C6D"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0F547B21"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Regular Reporting:</w:t>
      </w:r>
    </w:p>
    <w:p w:rsidRPr="009E53E0" w:rsidR="007F0690" w:rsidP="524AB998" w:rsidRDefault="007F0690" w14:paraId="37046147"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Employees on leave for more than one pay period must report to their supervisors regularly about the status of their leave and their intent to return to work.</w:t>
      </w:r>
    </w:p>
    <w:p w:rsidRPr="009E53E0" w:rsidR="00FD09C9" w:rsidP="524AB998" w:rsidRDefault="00FD09C9" w14:paraId="49EFFD80"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3E14C04A"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Leave Accrual During Leave:</w:t>
      </w:r>
    </w:p>
    <w:p w:rsidRPr="009E53E0" w:rsidR="007F0690" w:rsidP="524AB998" w:rsidRDefault="007F0690" w14:paraId="3D21B0CC"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on paid leave will continue to </w:t>
      </w:r>
      <w:r w:rsidRPr="524AB998" w:rsidR="007F0690">
        <w:rPr>
          <w:rFonts w:ascii="Calibri" w:hAnsi="Calibri" w:cs="Calibri"/>
          <w:snapToGrid/>
          <w:color w:val="auto" w:themeColor="text1"/>
          <w14:ligatures w14:val="none"/>
        </w:rPr>
        <w:t>accrue</w:t>
      </w:r>
      <w:r w:rsidRPr="524AB998" w:rsidR="007F0690">
        <w:rPr>
          <w:rFonts w:ascii="Calibri" w:hAnsi="Calibri" w:cs="Calibri"/>
          <w:snapToGrid/>
          <w:color w:val="auto" w:themeColor="text1"/>
          <w14:ligatures w14:val="none"/>
        </w:rPr>
        <w:t xml:space="preserve"> leave benefits, and their contributions to </w:t>
      </w:r>
      <w:r w:rsidRPr="524AB998" w:rsidR="007F0690">
        <w:rPr>
          <w:rFonts w:ascii="Calibri" w:hAnsi="Calibri" w:cs="Calibri"/>
          <w:snapToGrid/>
          <w:color w:val="auto" w:themeColor="text1"/>
          <w14:ligatures w14:val="none"/>
        </w:rPr>
        <w:t>benefit</w:t>
      </w:r>
      <w:r w:rsidRPr="524AB998" w:rsidR="007F0690">
        <w:rPr>
          <w:rFonts w:ascii="Calibri" w:hAnsi="Calibri" w:cs="Calibri"/>
          <w:snapToGrid/>
          <w:color w:val="auto" w:themeColor="text1"/>
          <w14:ligatures w14:val="none"/>
        </w:rPr>
        <w:t xml:space="preserve"> plans will continue.</w:t>
      </w:r>
    </w:p>
    <w:p w:rsidRPr="009E53E0" w:rsidR="007F0690" w:rsidP="524AB998" w:rsidRDefault="007F0690" w14:paraId="50885AC0"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on unpaid leave will not </w:t>
      </w:r>
      <w:r w:rsidRPr="524AB998" w:rsidR="007F0690">
        <w:rPr>
          <w:rFonts w:ascii="Calibri" w:hAnsi="Calibri" w:cs="Calibri"/>
          <w:snapToGrid/>
          <w:color w:val="auto" w:themeColor="text1"/>
          <w14:ligatures w14:val="none"/>
        </w:rPr>
        <w:t>accrue</w:t>
      </w:r>
      <w:r w:rsidRPr="524AB998" w:rsidR="007F0690">
        <w:rPr>
          <w:rFonts w:ascii="Calibri" w:hAnsi="Calibri" w:cs="Calibri"/>
          <w:snapToGrid/>
          <w:color w:val="auto" w:themeColor="text1"/>
          <w14:ligatures w14:val="none"/>
        </w:rPr>
        <w:t xml:space="preserve"> leave benefits and must </w:t>
      </w:r>
      <w:r w:rsidRPr="524AB998" w:rsidR="007F0690">
        <w:rPr>
          <w:rFonts w:ascii="Calibri" w:hAnsi="Calibri" w:cs="Calibri"/>
          <w:snapToGrid/>
          <w:color w:val="auto" w:themeColor="text1"/>
          <w14:ligatures w14:val="none"/>
        </w:rPr>
        <w:t>pay for</w:t>
      </w:r>
      <w:r w:rsidRPr="524AB998" w:rsidR="007F0690">
        <w:rPr>
          <w:rFonts w:ascii="Calibri" w:hAnsi="Calibri" w:cs="Calibri"/>
          <w:snapToGrid/>
          <w:color w:val="auto" w:themeColor="text1"/>
          <w14:ligatures w14:val="none"/>
        </w:rPr>
        <w:t xml:space="preserve"> their </w:t>
      </w:r>
      <w:r w:rsidRPr="524AB998" w:rsidR="007F0690">
        <w:rPr>
          <w:rFonts w:ascii="Calibri" w:hAnsi="Calibri" w:cs="Calibri"/>
          <w:snapToGrid/>
          <w:color w:val="auto" w:themeColor="text1"/>
          <w14:ligatures w14:val="none"/>
        </w:rPr>
        <w:t>portion</w:t>
      </w:r>
      <w:r w:rsidRPr="524AB998" w:rsidR="007F0690">
        <w:rPr>
          <w:rFonts w:ascii="Calibri" w:hAnsi="Calibri" w:cs="Calibri"/>
          <w:snapToGrid/>
          <w:color w:val="auto" w:themeColor="text1"/>
          <w14:ligatures w14:val="none"/>
        </w:rPr>
        <w:t xml:space="preserve"> of any insurance premiums to </w:t>
      </w:r>
      <w:r w:rsidRPr="524AB998" w:rsidR="007F0690">
        <w:rPr>
          <w:rFonts w:ascii="Calibri" w:hAnsi="Calibri" w:cs="Calibri"/>
          <w:snapToGrid/>
          <w:color w:val="auto" w:themeColor="text1"/>
          <w14:ligatures w14:val="none"/>
        </w:rPr>
        <w:t>maintain</w:t>
      </w:r>
      <w:r w:rsidRPr="524AB998" w:rsidR="007F0690">
        <w:rPr>
          <w:rFonts w:ascii="Calibri" w:hAnsi="Calibri" w:cs="Calibri"/>
          <w:snapToGrid/>
          <w:color w:val="auto" w:themeColor="text1"/>
          <w14:ligatures w14:val="none"/>
        </w:rPr>
        <w:t xml:space="preserve"> coverage.</w:t>
      </w:r>
    </w:p>
    <w:p w:rsidRPr="009E53E0" w:rsidR="00FD09C9" w:rsidP="524AB998" w:rsidRDefault="00FD09C9" w14:paraId="34F28A7A"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1A0E4D05"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Reimbursement of Benefits:</w:t>
      </w:r>
    </w:p>
    <w:p w:rsidRPr="009E53E0" w:rsidR="007F0690" w:rsidP="524AB998" w:rsidRDefault="007F0690" w14:paraId="31AD876B"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 xml:space="preserve">Employees who fail to return to work after FMLA leave for reasons other than a continuing serious health condition may </w:t>
      </w:r>
      <w:r w:rsidRPr="524AB998" w:rsidR="007F0690">
        <w:rPr>
          <w:rFonts w:ascii="Calibri" w:hAnsi="Calibri" w:cs="Calibri"/>
          <w:snapToGrid/>
          <w:color w:val="auto" w:themeColor="text1"/>
          <w14:ligatures w14:val="none"/>
        </w:rPr>
        <w:t>be required</w:t>
      </w:r>
      <w:r w:rsidRPr="524AB998" w:rsidR="007F0690">
        <w:rPr>
          <w:rFonts w:ascii="Calibri" w:hAnsi="Calibri" w:cs="Calibri"/>
          <w:snapToGrid/>
          <w:color w:val="auto" w:themeColor="text1"/>
          <w14:ligatures w14:val="none"/>
        </w:rPr>
        <w:t xml:space="preserve"> to reimburse the City for its share of any paid benefits premiums during the leave.</w:t>
      </w:r>
    </w:p>
    <w:p w:rsidRPr="009E53E0" w:rsidR="00FD09C9" w:rsidP="524AB998" w:rsidRDefault="00FD09C9" w14:paraId="2BAD96DB" w14:textId="77777777">
      <w:pPr>
        <w:widowControl w:val="1"/>
        <w:spacing w:line="264" w:lineRule="auto"/>
        <w:ind w:left="1440"/>
        <w:rPr>
          <w:rFonts w:ascii="Calibri" w:hAnsi="Calibri" w:cs="Calibri"/>
          <w:snapToGrid/>
          <w:color w:val="auto" w:themeColor="text1"/>
          <w14:ligatures w14:val="none"/>
        </w:rPr>
      </w:pPr>
    </w:p>
    <w:p w:rsidRPr="009E53E0" w:rsidR="007F0690" w:rsidP="524AB998" w:rsidRDefault="007F0690" w14:paraId="6930DC1A" w14:textId="77777777">
      <w:pPr>
        <w:widowControl w:val="1"/>
        <w:numPr>
          <w:ilvl w:val="0"/>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Secondary Employment:</w:t>
      </w:r>
    </w:p>
    <w:p w:rsidRPr="009E53E0" w:rsidR="007F0690" w:rsidP="524AB998" w:rsidRDefault="007F0690" w14:paraId="1278AF2F" w14:textId="77777777">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Employees on FMLA leave for personal illness may not engage in secondary employment.</w:t>
      </w:r>
    </w:p>
    <w:p w:rsidRPr="009E53E0" w:rsidR="0026715E" w:rsidP="524AB998" w:rsidRDefault="007F0690" w14:paraId="775F823C" w14:textId="5F737E0A">
      <w:pPr>
        <w:widowControl w:val="1"/>
        <w:numPr>
          <w:ilvl w:val="1"/>
          <w:numId w:val="9"/>
        </w:numPr>
        <w:spacing w:line="264" w:lineRule="auto"/>
        <w:rPr>
          <w:rFonts w:ascii="Calibri" w:hAnsi="Calibri" w:cs="Calibri"/>
          <w:snapToGrid/>
          <w:color w:val="auto" w:themeColor="text1"/>
          <w14:ligatures w14:val="none"/>
        </w:rPr>
      </w:pPr>
      <w:r w:rsidRPr="524AB998" w:rsidR="007F0690">
        <w:rPr>
          <w:rFonts w:ascii="Calibri" w:hAnsi="Calibri" w:cs="Calibri"/>
          <w:snapToGrid/>
          <w:color w:val="auto" w:themeColor="text1"/>
          <w14:ligatures w14:val="none"/>
        </w:rPr>
        <w:t>Employees on FMLA leave for a family member’s illness, birth, or adoption may not work or engage in secondary employment without approval from the City Manager.</w:t>
      </w:r>
    </w:p>
    <w:sectPr w:rsidRPr="009E53E0" w:rsidR="0026715E">
      <w:pgSz w:w="12240" w:h="15840" w:orient="portrait"/>
      <w:pgMar w:top="1440" w:right="1440" w:bottom="1440" w:left="1440" w:header="720" w:footer="720" w:gutter="0"/>
      <w:cols w:space="720"/>
      <w:docGrid w:linePitch="360"/>
      <w:headerReference w:type="default" r:id="Rdc8d40f9c6c64183"/>
      <w:footerReference w:type="default" r:id="R9276363ef4f547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AB998" w:rsidTr="524AB998" w14:paraId="19640B6C">
      <w:trPr>
        <w:trHeight w:val="300"/>
      </w:trPr>
      <w:tc>
        <w:tcPr>
          <w:tcW w:w="3120" w:type="dxa"/>
          <w:tcMar/>
        </w:tcPr>
        <w:p w:rsidR="524AB998" w:rsidP="524AB998" w:rsidRDefault="524AB998" w14:paraId="6EEF6D1E" w14:textId="58382F5F">
          <w:pPr>
            <w:pStyle w:val="Header"/>
            <w:bidi w:val="0"/>
            <w:ind w:left="-115"/>
            <w:jc w:val="left"/>
          </w:pPr>
        </w:p>
      </w:tc>
      <w:tc>
        <w:tcPr>
          <w:tcW w:w="3120" w:type="dxa"/>
          <w:tcMar/>
        </w:tcPr>
        <w:p w:rsidR="524AB998" w:rsidP="524AB998" w:rsidRDefault="524AB998" w14:paraId="161B9D3A" w14:textId="6613B145">
          <w:pPr>
            <w:pStyle w:val="Header"/>
            <w:bidi w:val="0"/>
            <w:jc w:val="center"/>
          </w:pPr>
        </w:p>
      </w:tc>
      <w:tc>
        <w:tcPr>
          <w:tcW w:w="3120" w:type="dxa"/>
          <w:tcMar/>
        </w:tcPr>
        <w:p w:rsidR="524AB998" w:rsidP="524AB998" w:rsidRDefault="524AB998" w14:paraId="1A493D3E" w14:textId="22EBE5B4">
          <w:pPr>
            <w:pStyle w:val="Header"/>
            <w:bidi w:val="0"/>
            <w:ind w:right="-115"/>
            <w:jc w:val="right"/>
          </w:pPr>
        </w:p>
      </w:tc>
    </w:tr>
  </w:tbl>
  <w:p w:rsidR="524AB998" w:rsidP="524AB998" w:rsidRDefault="524AB998" w14:paraId="26FB8CD8" w14:textId="4F9F420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AB998" w:rsidTr="524AB998" w14:paraId="26B507AA">
      <w:trPr>
        <w:trHeight w:val="300"/>
      </w:trPr>
      <w:tc>
        <w:tcPr>
          <w:tcW w:w="3120" w:type="dxa"/>
          <w:tcMar/>
        </w:tcPr>
        <w:p w:rsidR="524AB998" w:rsidP="524AB998" w:rsidRDefault="524AB998" w14:paraId="4D931A7E" w14:textId="03F3CCD2">
          <w:pPr>
            <w:pStyle w:val="Header"/>
            <w:bidi w:val="0"/>
            <w:ind w:left="-115"/>
            <w:jc w:val="left"/>
          </w:pPr>
        </w:p>
      </w:tc>
      <w:tc>
        <w:tcPr>
          <w:tcW w:w="3120" w:type="dxa"/>
          <w:tcMar/>
        </w:tcPr>
        <w:p w:rsidR="524AB998" w:rsidP="524AB998" w:rsidRDefault="524AB998" w14:paraId="76DD1446" w14:textId="101F9062">
          <w:pPr>
            <w:pStyle w:val="Header"/>
            <w:bidi w:val="0"/>
            <w:jc w:val="center"/>
          </w:pPr>
        </w:p>
      </w:tc>
      <w:tc>
        <w:tcPr>
          <w:tcW w:w="3120" w:type="dxa"/>
          <w:tcMar/>
        </w:tcPr>
        <w:p w:rsidR="524AB998" w:rsidP="524AB998" w:rsidRDefault="524AB998" w14:paraId="2EC9EA71" w14:textId="4F8570CF">
          <w:pPr>
            <w:pStyle w:val="Header"/>
            <w:bidi w:val="0"/>
            <w:ind w:right="-115"/>
            <w:jc w:val="right"/>
          </w:pPr>
        </w:p>
      </w:tc>
    </w:tr>
  </w:tbl>
  <w:p w:rsidR="524AB998" w:rsidP="524AB998" w:rsidRDefault="524AB998" w14:paraId="02626926" w14:textId="55833E1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5a09c2f5"/>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906EF0"/>
    <w:multiLevelType w:val="hybridMultilevel"/>
    <w:tmpl w:val="D94A9D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51C1D"/>
    <w:multiLevelType w:val="hybridMultilevel"/>
    <w:tmpl w:val="82162E24"/>
    <w:lvl w:ilvl="0" w:tplc="8C369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72D3"/>
    <w:multiLevelType w:val="hybridMultilevel"/>
    <w:tmpl w:val="C7BE62F2"/>
    <w:lvl w:ilvl="0" w:tplc="B1CC4C2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A1121"/>
    <w:multiLevelType w:val="hybridMultilevel"/>
    <w:tmpl w:val="9634C02E"/>
    <w:lvl w:ilvl="0" w:tplc="322663C2">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54E05"/>
    <w:multiLevelType w:val="multilevel"/>
    <w:tmpl w:val="D2244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344DF"/>
    <w:multiLevelType w:val="hybridMultilevel"/>
    <w:tmpl w:val="8CE00E20"/>
    <w:lvl w:ilvl="0" w:tplc="0409000F">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E5749"/>
    <w:multiLevelType w:val="hybridMultilevel"/>
    <w:tmpl w:val="A9AEF2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F4794"/>
    <w:multiLevelType w:val="hybridMultilevel"/>
    <w:tmpl w:val="7766E8E6"/>
    <w:lvl w:ilvl="0" w:tplc="0FA0E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05FCA"/>
    <w:multiLevelType w:val="hybridMultilevel"/>
    <w:tmpl w:val="575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0">
    <w:abstractNumId w:val="9"/>
  </w:num>
  <w:num w:numId="1" w16cid:durableId="1351638371">
    <w:abstractNumId w:val="7"/>
  </w:num>
  <w:num w:numId="2" w16cid:durableId="620112520">
    <w:abstractNumId w:val="8"/>
  </w:num>
  <w:num w:numId="3" w16cid:durableId="1934776592">
    <w:abstractNumId w:val="1"/>
  </w:num>
  <w:num w:numId="4" w16cid:durableId="322468319">
    <w:abstractNumId w:val="5"/>
  </w:num>
  <w:num w:numId="5" w16cid:durableId="1049645097">
    <w:abstractNumId w:val="2"/>
  </w:num>
  <w:num w:numId="6" w16cid:durableId="493763819">
    <w:abstractNumId w:val="3"/>
  </w:num>
  <w:num w:numId="7" w16cid:durableId="111101169">
    <w:abstractNumId w:val="4"/>
  </w:num>
  <w:num w:numId="8" w16cid:durableId="1949895909">
    <w:abstractNumId w:val="6"/>
  </w:num>
  <w:num w:numId="9" w16cid:durableId="6366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E8"/>
    <w:rsid w:val="00151D68"/>
    <w:rsid w:val="00233F68"/>
    <w:rsid w:val="0026715E"/>
    <w:rsid w:val="004C6E1B"/>
    <w:rsid w:val="0053C5FB"/>
    <w:rsid w:val="005A673F"/>
    <w:rsid w:val="00613156"/>
    <w:rsid w:val="00644755"/>
    <w:rsid w:val="006A2CD9"/>
    <w:rsid w:val="007F0690"/>
    <w:rsid w:val="009E53E0"/>
    <w:rsid w:val="00A0427C"/>
    <w:rsid w:val="00A15D60"/>
    <w:rsid w:val="00AB5E1B"/>
    <w:rsid w:val="00AD31E8"/>
    <w:rsid w:val="00B27CC7"/>
    <w:rsid w:val="00B7239D"/>
    <w:rsid w:val="00BE658D"/>
    <w:rsid w:val="00C52C99"/>
    <w:rsid w:val="00D201A5"/>
    <w:rsid w:val="00D8731F"/>
    <w:rsid w:val="00D91F21"/>
    <w:rsid w:val="00EC6E15"/>
    <w:rsid w:val="00F3392D"/>
    <w:rsid w:val="00F5306F"/>
    <w:rsid w:val="00F618CC"/>
    <w:rsid w:val="00FD09C9"/>
    <w:rsid w:val="00FD75F3"/>
    <w:rsid w:val="014B3C0E"/>
    <w:rsid w:val="01A6C433"/>
    <w:rsid w:val="05FCE35B"/>
    <w:rsid w:val="06031B4A"/>
    <w:rsid w:val="0DC1177D"/>
    <w:rsid w:val="0F6BC6FB"/>
    <w:rsid w:val="10E7D95A"/>
    <w:rsid w:val="1141FF68"/>
    <w:rsid w:val="141F33FA"/>
    <w:rsid w:val="1CC565D3"/>
    <w:rsid w:val="1F3FBDBC"/>
    <w:rsid w:val="2804C73C"/>
    <w:rsid w:val="2975B3AC"/>
    <w:rsid w:val="2AA9B03B"/>
    <w:rsid w:val="2C784C78"/>
    <w:rsid w:val="2CA44434"/>
    <w:rsid w:val="30F20C10"/>
    <w:rsid w:val="36172C30"/>
    <w:rsid w:val="36D1F3A6"/>
    <w:rsid w:val="394C99BB"/>
    <w:rsid w:val="3A7F6483"/>
    <w:rsid w:val="3E478166"/>
    <w:rsid w:val="3E8FF88A"/>
    <w:rsid w:val="3EB3B199"/>
    <w:rsid w:val="3ECFB4F1"/>
    <w:rsid w:val="3F696511"/>
    <w:rsid w:val="41E0D858"/>
    <w:rsid w:val="421DDE3B"/>
    <w:rsid w:val="45AE6C7D"/>
    <w:rsid w:val="46D8DD08"/>
    <w:rsid w:val="4D31533B"/>
    <w:rsid w:val="524AB998"/>
    <w:rsid w:val="5313FA15"/>
    <w:rsid w:val="54A02F6F"/>
    <w:rsid w:val="5870336D"/>
    <w:rsid w:val="58D0A334"/>
    <w:rsid w:val="5AB61C0D"/>
    <w:rsid w:val="5B01CF51"/>
    <w:rsid w:val="5B0FEADD"/>
    <w:rsid w:val="5C2E7249"/>
    <w:rsid w:val="6289A8BB"/>
    <w:rsid w:val="66B1F754"/>
    <w:rsid w:val="6C9145FB"/>
    <w:rsid w:val="6E85867C"/>
    <w:rsid w:val="707C7963"/>
    <w:rsid w:val="70FF1170"/>
    <w:rsid w:val="71BD4913"/>
    <w:rsid w:val="71E73E74"/>
    <w:rsid w:val="72E50595"/>
    <w:rsid w:val="743F6B5D"/>
    <w:rsid w:val="76350E9A"/>
    <w:rsid w:val="78BA4206"/>
    <w:rsid w:val="7AAC5848"/>
    <w:rsid w:val="7BF995BA"/>
    <w:rsid w:val="7C3CAD37"/>
    <w:rsid w:val="7F318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83A"/>
  <w15:chartTrackingRefBased/>
  <w15:docId w15:val="{4AD4F1DF-374D-49A3-BA8E-2E739AD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1E8"/>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AD31E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1E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1E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31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31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31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31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31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31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31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31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31E8"/>
    <w:rPr>
      <w:rFonts w:eastAsiaTheme="majorEastAsia" w:cstheme="majorBidi"/>
      <w:color w:val="272727" w:themeColor="text1" w:themeTint="D8"/>
    </w:rPr>
  </w:style>
  <w:style w:type="paragraph" w:styleId="Title">
    <w:name w:val="Title"/>
    <w:basedOn w:val="Normal"/>
    <w:next w:val="Normal"/>
    <w:link w:val="TitleChar"/>
    <w:uiPriority w:val="10"/>
    <w:qFormat/>
    <w:rsid w:val="00AD31E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31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31E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1E8"/>
    <w:pPr>
      <w:spacing w:before="160"/>
      <w:jc w:val="center"/>
    </w:pPr>
    <w:rPr>
      <w:i/>
      <w:iCs/>
      <w:color w:val="404040" w:themeColor="text1" w:themeTint="BF"/>
    </w:rPr>
  </w:style>
  <w:style w:type="character" w:styleId="QuoteChar" w:customStyle="1">
    <w:name w:val="Quote Char"/>
    <w:basedOn w:val="DefaultParagraphFont"/>
    <w:link w:val="Quote"/>
    <w:uiPriority w:val="29"/>
    <w:rsid w:val="00AD31E8"/>
    <w:rPr>
      <w:i/>
      <w:iCs/>
      <w:color w:val="404040" w:themeColor="text1" w:themeTint="BF"/>
    </w:rPr>
  </w:style>
  <w:style w:type="paragraph" w:styleId="ListParagraph">
    <w:name w:val="List Paragraph"/>
    <w:basedOn w:val="Normal"/>
    <w:uiPriority w:val="34"/>
    <w:qFormat/>
    <w:rsid w:val="00AD31E8"/>
    <w:pPr>
      <w:ind w:left="720"/>
      <w:contextualSpacing/>
    </w:pPr>
  </w:style>
  <w:style w:type="character" w:styleId="IntenseEmphasis">
    <w:name w:val="Intense Emphasis"/>
    <w:basedOn w:val="DefaultParagraphFont"/>
    <w:uiPriority w:val="21"/>
    <w:qFormat/>
    <w:rsid w:val="00AD31E8"/>
    <w:rPr>
      <w:i/>
      <w:iCs/>
      <w:color w:val="0F4761" w:themeColor="accent1" w:themeShade="BF"/>
    </w:rPr>
  </w:style>
  <w:style w:type="paragraph" w:styleId="IntenseQuote">
    <w:name w:val="Intense Quote"/>
    <w:basedOn w:val="Normal"/>
    <w:next w:val="Normal"/>
    <w:link w:val="IntenseQuoteChar"/>
    <w:uiPriority w:val="30"/>
    <w:qFormat/>
    <w:rsid w:val="00AD31E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31E8"/>
    <w:rPr>
      <w:i/>
      <w:iCs/>
      <w:color w:val="0F4761" w:themeColor="accent1" w:themeShade="BF"/>
    </w:rPr>
  </w:style>
  <w:style w:type="character" w:styleId="IntenseReference">
    <w:name w:val="Intense Reference"/>
    <w:basedOn w:val="DefaultParagraphFont"/>
    <w:uiPriority w:val="32"/>
    <w:qFormat/>
    <w:rsid w:val="00AD31E8"/>
    <w:rPr>
      <w:b/>
      <w:bCs/>
      <w:smallCaps/>
      <w:color w:val="0F4761" w:themeColor="accent1" w:themeShade="BF"/>
      <w:spacing w:val="5"/>
    </w:rPr>
  </w:style>
  <w:style w:type="table" w:styleId="TableGrid">
    <w:name w:val="Table Grid"/>
    <w:basedOn w:val="TableNormal"/>
    <w:uiPriority w:val="39"/>
    <w:rsid w:val="007F069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uiPriority w:val="99"/>
    <w:name w:val="Hyperlink"/>
    <w:basedOn w:val="DefaultParagraphFont"/>
    <w:unhideWhenUsed/>
    <w:rsid w:val="524AB998"/>
    <w:rPr>
      <w:color w:val="467886"/>
      <w:u w:val="single"/>
    </w:rPr>
  </w:style>
  <w:style w:type="paragraph" w:styleId="Header">
    <w:uiPriority w:val="99"/>
    <w:name w:val="header"/>
    <w:basedOn w:val="Normal"/>
    <w:unhideWhenUsed/>
    <w:rsid w:val="524AB998"/>
    <w:pPr>
      <w:tabs>
        <w:tab w:val="center" w:leader="none" w:pos="4680"/>
        <w:tab w:val="right" w:leader="none" w:pos="9360"/>
      </w:tabs>
    </w:pPr>
  </w:style>
  <w:style w:type="paragraph" w:styleId="Footer">
    <w:uiPriority w:val="99"/>
    <w:name w:val="footer"/>
    <w:basedOn w:val="Normal"/>
    <w:unhideWhenUsed/>
    <w:rsid w:val="524AB998"/>
    <w:pPr>
      <w:tabs>
        <w:tab w:val="center" w:leader="none" w:pos="4680"/>
        <w:tab w:val="right" w:leader="none"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3186">
      <w:bodyDiv w:val="1"/>
      <w:marLeft w:val="0"/>
      <w:marRight w:val="0"/>
      <w:marTop w:val="0"/>
      <w:marBottom w:val="0"/>
      <w:divBdr>
        <w:top w:val="none" w:sz="0" w:space="0" w:color="auto"/>
        <w:left w:val="none" w:sz="0" w:space="0" w:color="auto"/>
        <w:bottom w:val="none" w:sz="0" w:space="0" w:color="auto"/>
        <w:right w:val="none" w:sz="0" w:space="0" w:color="auto"/>
      </w:divBdr>
    </w:div>
    <w:div w:id="14138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dc8d40f9c6c64183" /><Relationship Type="http://schemas.openxmlformats.org/officeDocument/2006/relationships/footer" Target="footer.xml" Id="R9276363ef4f547b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08ED0-0CBA-43D6-92D6-E4E1086E9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36954-1155-4E25-904E-E3A05E70B29A}">
  <ds:schemaRefs>
    <ds:schemaRef ds:uri="http://schemas.microsoft.com/sharepoint/v3/contenttype/forms"/>
  </ds:schemaRefs>
</ds:datastoreItem>
</file>

<file path=customXml/itemProps3.xml><?xml version="1.0" encoding="utf-8"?>
<ds:datastoreItem xmlns:ds="http://schemas.openxmlformats.org/officeDocument/2006/customXml" ds:itemID="{F8CD68AF-C3B3-4C34-9AEC-62DDFC3B1E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15</cp:revision>
  <dcterms:created xsi:type="dcterms:W3CDTF">2025-04-03T21:31:00Z</dcterms:created>
  <dcterms:modified xsi:type="dcterms:W3CDTF">2025-08-15T15:49:36Z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2025-04-14T02:30:00Z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55cb146d-79b5-40fc-b1ba-769607892648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